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05EA" w14:textId="77777777" w:rsidR="00475BAF" w:rsidRDefault="00475BAF">
      <w:pPr>
        <w:rPr>
          <w:b/>
          <w:bCs/>
        </w:rPr>
      </w:pPr>
    </w:p>
    <w:p w14:paraId="619C0816" w14:textId="2E81681E" w:rsidR="00E4770A" w:rsidRPr="00060204" w:rsidRDefault="000D6A8B">
      <w:pPr>
        <w:rPr>
          <w:b/>
          <w:bCs/>
        </w:rPr>
      </w:pPr>
      <w:r w:rsidRPr="00060204">
        <w:rPr>
          <w:b/>
          <w:bCs/>
        </w:rPr>
        <w:t xml:space="preserve">FAQs – </w:t>
      </w:r>
      <w:r w:rsidR="00594F39">
        <w:rPr>
          <w:b/>
          <w:bCs/>
        </w:rPr>
        <w:t>Consultant Services</w:t>
      </w:r>
    </w:p>
    <w:p w14:paraId="75CB0DF1" w14:textId="052F44EE" w:rsidR="000D6A8B" w:rsidRDefault="000D6A8B">
      <w:r w:rsidRPr="00060204">
        <w:rPr>
          <w:b/>
          <w:bCs/>
        </w:rPr>
        <w:t>Q1.</w:t>
      </w:r>
      <w:r>
        <w:t xml:space="preserve"> </w:t>
      </w:r>
      <w:r w:rsidR="00594F39">
        <w:t>How are consultant services defined</w:t>
      </w:r>
      <w:r w:rsidR="00F37ED0">
        <w:t>?</w:t>
      </w:r>
    </w:p>
    <w:p w14:paraId="1EC4A70E" w14:textId="38833E3C" w:rsidR="00180418" w:rsidRDefault="000D6A8B" w:rsidP="003E5E51">
      <w:pPr>
        <w:autoSpaceDE w:val="0"/>
        <w:autoSpaceDN w:val="0"/>
        <w:adjustRightInd w:val="0"/>
        <w:spacing w:after="0" w:line="240" w:lineRule="auto"/>
        <w:rPr>
          <w:rFonts w:cstheme="minorHAnsi"/>
        </w:rPr>
      </w:pPr>
      <w:r w:rsidRPr="00F9190C">
        <w:rPr>
          <w:rFonts w:cstheme="minorHAnsi"/>
          <w:b/>
          <w:bCs/>
        </w:rPr>
        <w:t>A1.</w:t>
      </w:r>
      <w:r w:rsidRPr="00F9190C">
        <w:rPr>
          <w:rFonts w:cstheme="minorHAnsi"/>
        </w:rPr>
        <w:t xml:space="preserve"> </w:t>
      </w:r>
      <w:r w:rsidR="00180418">
        <w:rPr>
          <w:rFonts w:cstheme="minorHAnsi"/>
        </w:rPr>
        <w:t xml:space="preserve">The Funding Opportunity Announcement </w:t>
      </w:r>
      <w:r w:rsidR="002966BA">
        <w:rPr>
          <w:rFonts w:cstheme="minorHAnsi"/>
        </w:rPr>
        <w:t xml:space="preserve">(FOA) </w:t>
      </w:r>
      <w:r w:rsidR="00180418">
        <w:rPr>
          <w:rFonts w:cstheme="minorHAnsi"/>
        </w:rPr>
        <w:t>defines consultants this way:</w:t>
      </w:r>
    </w:p>
    <w:p w14:paraId="231F0146" w14:textId="6297D7E8" w:rsidR="001C3B13" w:rsidRPr="00AF2115" w:rsidRDefault="00180418" w:rsidP="00180418">
      <w:pPr>
        <w:autoSpaceDE w:val="0"/>
        <w:autoSpaceDN w:val="0"/>
        <w:adjustRightInd w:val="0"/>
        <w:spacing w:after="0" w:line="240" w:lineRule="auto"/>
        <w:ind w:left="720"/>
        <w:rPr>
          <w:rFonts w:cstheme="minorHAnsi"/>
          <w:i/>
          <w:iCs/>
        </w:rPr>
      </w:pPr>
      <w:r w:rsidRPr="00AF2115">
        <w:rPr>
          <w:rFonts w:cstheme="minorHAnsi"/>
          <w:i/>
          <w:iCs/>
        </w:rPr>
        <w:t>A consultant is generally an individual who is not using any institutional or organizational facilities and is acting as a direct agent. The individual usually bills by the hour, submitting invoices. Invoices occasionally include additional direct expenses incurred. Consultants are normally subject matter experts and are not directly supervised by the awardee</w:t>
      </w:r>
      <w:r w:rsidR="00AD3E59" w:rsidRPr="00AF2115">
        <w:rPr>
          <w:rFonts w:cstheme="minorHAnsi"/>
          <w:i/>
          <w:iCs/>
        </w:rPr>
        <w:t>.</w:t>
      </w:r>
    </w:p>
    <w:p w14:paraId="22DB3ECB" w14:textId="77777777" w:rsidR="00561BEF" w:rsidRDefault="00561BEF" w:rsidP="005018F1"/>
    <w:p w14:paraId="017D816A" w14:textId="08AA359C" w:rsidR="00D35665" w:rsidRDefault="00B2487C" w:rsidP="002F6807">
      <w:r w:rsidRPr="00060204">
        <w:rPr>
          <w:b/>
          <w:bCs/>
        </w:rPr>
        <w:t>Q2</w:t>
      </w:r>
      <w:r>
        <w:t xml:space="preserve">. </w:t>
      </w:r>
      <w:r w:rsidR="00954524">
        <w:t>I’ve named a consultant as a Key Person in the Project Narrative</w:t>
      </w:r>
      <w:r w:rsidR="00D35665">
        <w:t>?</w:t>
      </w:r>
      <w:r w:rsidR="00954524">
        <w:t xml:space="preserve"> Where do they go in the budget?</w:t>
      </w:r>
    </w:p>
    <w:p w14:paraId="5EC75BEB" w14:textId="5B1E8AE7" w:rsidR="00561BEF" w:rsidRDefault="00D35665" w:rsidP="002966BA">
      <w:r w:rsidRPr="00060204">
        <w:rPr>
          <w:b/>
          <w:bCs/>
        </w:rPr>
        <w:t>A2</w:t>
      </w:r>
      <w:r>
        <w:t xml:space="preserve">. </w:t>
      </w:r>
      <w:r w:rsidR="00954524">
        <w:t>Even though a consultant has been declared a Key Person in the Project Narrative, their budget goes into Section F.3 under Other Direct Costs in the budget</w:t>
      </w:r>
      <w:r w:rsidR="002966BA">
        <w:t xml:space="preserve"> form</w:t>
      </w:r>
      <w:r w:rsidR="00954524">
        <w:t xml:space="preserve">. Since they are not employees of the </w:t>
      </w:r>
      <w:proofErr w:type="gramStart"/>
      <w:r w:rsidR="00954524">
        <w:t>firm</w:t>
      </w:r>
      <w:proofErr w:type="gramEnd"/>
      <w:r w:rsidR="00954524">
        <w:t xml:space="preserve"> they should not be in Section A (</w:t>
      </w:r>
      <w:r w:rsidR="002966BA">
        <w:t xml:space="preserve">Senior/Key Person) </w:t>
      </w:r>
      <w:r w:rsidR="00954524">
        <w:t>of the budget.</w:t>
      </w:r>
    </w:p>
    <w:p w14:paraId="3DC3AE5D" w14:textId="77777777" w:rsidR="00F21CC5" w:rsidRDefault="00F21CC5" w:rsidP="002966BA"/>
    <w:p w14:paraId="5BCE573D" w14:textId="5DECDB60" w:rsidR="000E2ABA" w:rsidRDefault="00DD6F2C" w:rsidP="002F6807">
      <w:r w:rsidRPr="00060204">
        <w:rPr>
          <w:b/>
          <w:bCs/>
        </w:rPr>
        <w:t>Q3</w:t>
      </w:r>
      <w:r>
        <w:t xml:space="preserve">. </w:t>
      </w:r>
      <w:r w:rsidR="00323691">
        <w:t xml:space="preserve">How do I </w:t>
      </w:r>
      <w:r w:rsidR="002966BA">
        <w:t>calculate consultant costs</w:t>
      </w:r>
      <w:r>
        <w:t>?</w:t>
      </w:r>
    </w:p>
    <w:p w14:paraId="52EC8EBA" w14:textId="2B060427" w:rsidR="00DD6F2C" w:rsidRDefault="00DD6F2C" w:rsidP="002F6807">
      <w:pPr>
        <w:rPr>
          <w:rFonts w:eastAsia="Times New Roman" w:cstheme="minorHAnsi"/>
          <w:lang w:val="en"/>
        </w:rPr>
      </w:pPr>
      <w:r w:rsidRPr="00060204">
        <w:rPr>
          <w:b/>
          <w:bCs/>
        </w:rPr>
        <w:t>A</w:t>
      </w:r>
      <w:r w:rsidR="00FC01B9" w:rsidRPr="00060204">
        <w:rPr>
          <w:b/>
          <w:bCs/>
        </w:rPr>
        <w:t>3</w:t>
      </w:r>
      <w:r w:rsidRPr="00060204">
        <w:rPr>
          <w:b/>
          <w:bCs/>
        </w:rPr>
        <w:t xml:space="preserve">. </w:t>
      </w:r>
      <w:r w:rsidR="00FC01B9" w:rsidRPr="00060204">
        <w:rPr>
          <w:b/>
          <w:bCs/>
        </w:rPr>
        <w:t xml:space="preserve"> </w:t>
      </w:r>
      <w:r w:rsidR="002966BA">
        <w:rPr>
          <w:rFonts w:cstheme="minorHAnsi"/>
        </w:rPr>
        <w:t>The consultant should provide or quote an hourly rate</w:t>
      </w:r>
      <w:r w:rsidR="00F21CC5">
        <w:rPr>
          <w:rFonts w:cstheme="minorHAnsi"/>
        </w:rPr>
        <w:t xml:space="preserve"> and any travel or materials needed</w:t>
      </w:r>
      <w:r w:rsidR="002966BA">
        <w:rPr>
          <w:rFonts w:cstheme="minorHAnsi"/>
        </w:rPr>
        <w:t>. It’s up to you to negotiate the hours</w:t>
      </w:r>
      <w:r w:rsidR="00F21CC5">
        <w:rPr>
          <w:rFonts w:cstheme="minorHAnsi"/>
        </w:rPr>
        <w:t xml:space="preserve"> and other costs</w:t>
      </w:r>
      <w:r w:rsidR="003A5C74">
        <w:rPr>
          <w:rFonts w:eastAsia="Times New Roman" w:cstheme="minorHAnsi"/>
          <w:lang w:val="en"/>
        </w:rPr>
        <w:t>.</w:t>
      </w:r>
    </w:p>
    <w:p w14:paraId="344E4021" w14:textId="77777777" w:rsidR="00F21CC5" w:rsidRDefault="00F21CC5" w:rsidP="002F6807">
      <w:pPr>
        <w:rPr>
          <w:rFonts w:eastAsia="Times New Roman" w:cstheme="minorHAnsi"/>
          <w:lang w:val="en"/>
        </w:rPr>
      </w:pPr>
    </w:p>
    <w:p w14:paraId="3470211C" w14:textId="43F6AB94" w:rsidR="002966BA" w:rsidRDefault="002966BA" w:rsidP="002966BA">
      <w:r w:rsidRPr="00060204">
        <w:rPr>
          <w:b/>
          <w:bCs/>
        </w:rPr>
        <w:t>Q</w:t>
      </w:r>
      <w:r>
        <w:rPr>
          <w:b/>
          <w:bCs/>
        </w:rPr>
        <w:t>4</w:t>
      </w:r>
      <w:r>
        <w:t xml:space="preserve">. What will I need to justify the consultant </w:t>
      </w:r>
      <w:r w:rsidR="00760CFD">
        <w:t>o</w:t>
      </w:r>
      <w:r>
        <w:t>n the budget justification form?</w:t>
      </w:r>
    </w:p>
    <w:p w14:paraId="532E5B44" w14:textId="421EA38D" w:rsidR="002966BA" w:rsidRDefault="002966BA" w:rsidP="00760CFD">
      <w:pPr>
        <w:autoSpaceDE w:val="0"/>
        <w:autoSpaceDN w:val="0"/>
        <w:adjustRightInd w:val="0"/>
        <w:spacing w:after="0" w:line="240" w:lineRule="auto"/>
        <w:rPr>
          <w:rFonts w:cstheme="minorHAnsi"/>
        </w:rPr>
      </w:pPr>
      <w:r w:rsidRPr="00060204">
        <w:rPr>
          <w:b/>
          <w:bCs/>
        </w:rPr>
        <w:t>A</w:t>
      </w:r>
      <w:r>
        <w:rPr>
          <w:b/>
          <w:bCs/>
        </w:rPr>
        <w:t>4</w:t>
      </w:r>
      <w:r w:rsidRPr="00060204">
        <w:rPr>
          <w:b/>
          <w:bCs/>
        </w:rPr>
        <w:t xml:space="preserve">. </w:t>
      </w:r>
      <w:r w:rsidR="00F81211" w:rsidRPr="00760CFD">
        <w:rPr>
          <w:rFonts w:cstheme="minorHAnsi"/>
        </w:rPr>
        <w:t xml:space="preserve">You should </w:t>
      </w:r>
      <w:r w:rsidR="00F81211" w:rsidRPr="00F21CC5">
        <w:rPr>
          <w:rFonts w:cstheme="minorHAnsi"/>
        </w:rPr>
        <w:t xml:space="preserve">estimate the </w:t>
      </w:r>
      <w:r w:rsidRPr="00F21CC5">
        <w:rPr>
          <w:rFonts w:cstheme="minorHAnsi"/>
        </w:rPr>
        <w:t xml:space="preserve">total number of </w:t>
      </w:r>
      <w:r w:rsidR="00F81211" w:rsidRPr="00F21CC5">
        <w:rPr>
          <w:rFonts w:cstheme="minorHAnsi"/>
        </w:rPr>
        <w:t>hours, the consultant’s hourly rate,</w:t>
      </w:r>
      <w:r w:rsidRPr="00F21CC5">
        <w:rPr>
          <w:rFonts w:cstheme="minorHAnsi"/>
        </w:rPr>
        <w:t xml:space="preserve"> </w:t>
      </w:r>
      <w:r w:rsidR="00F81211" w:rsidRPr="00F21CC5">
        <w:rPr>
          <w:rFonts w:cstheme="minorHAnsi"/>
        </w:rPr>
        <w:t xml:space="preserve">and any </w:t>
      </w:r>
      <w:r w:rsidRPr="00F21CC5">
        <w:rPr>
          <w:rFonts w:cstheme="minorHAnsi"/>
        </w:rPr>
        <w:t>travel costs</w:t>
      </w:r>
      <w:r w:rsidR="00F81211" w:rsidRPr="00F21CC5">
        <w:rPr>
          <w:rFonts w:cstheme="minorHAnsi"/>
        </w:rPr>
        <w:t xml:space="preserve"> to derive</w:t>
      </w:r>
      <w:r w:rsidRPr="00F21CC5">
        <w:rPr>
          <w:rFonts w:cstheme="minorHAnsi"/>
        </w:rPr>
        <w:t xml:space="preserve"> total estimated costs. </w:t>
      </w:r>
      <w:r w:rsidR="00760CFD" w:rsidRPr="00F21CC5">
        <w:rPr>
          <w:rFonts w:cstheme="minorHAnsi"/>
        </w:rPr>
        <w:t>The consultant may be asked during negotiations to provide verification that this rate is consistent with, or more favorable than, recent billings for similar work, e.g., copies of paid invoices. Informally, consultants</w:t>
      </w:r>
      <w:r w:rsidR="00D462BE" w:rsidRPr="00F21CC5">
        <w:rPr>
          <w:rFonts w:cstheme="minorHAnsi"/>
        </w:rPr>
        <w:t xml:space="preserve"> with hourly rates less than $150 may not require this extra scrutiny.</w:t>
      </w:r>
    </w:p>
    <w:p w14:paraId="2C752AB8" w14:textId="77777777" w:rsidR="00F21CC5" w:rsidRDefault="00F21CC5" w:rsidP="00760CFD">
      <w:pPr>
        <w:autoSpaceDE w:val="0"/>
        <w:autoSpaceDN w:val="0"/>
        <w:adjustRightInd w:val="0"/>
        <w:spacing w:after="0" w:line="240" w:lineRule="auto"/>
        <w:rPr>
          <w:rFonts w:ascii="Arial Narrow" w:hAnsi="Arial Narrow"/>
          <w:b/>
          <w:sz w:val="24"/>
          <w:szCs w:val="24"/>
        </w:rPr>
      </w:pPr>
    </w:p>
    <w:p w14:paraId="5DD9EB5A" w14:textId="77777777" w:rsidR="00760CFD" w:rsidRDefault="00760CFD" w:rsidP="00760CFD">
      <w:pPr>
        <w:autoSpaceDE w:val="0"/>
        <w:autoSpaceDN w:val="0"/>
        <w:adjustRightInd w:val="0"/>
        <w:spacing w:after="0" w:line="240" w:lineRule="auto"/>
        <w:rPr>
          <w:rFonts w:eastAsia="Times New Roman" w:cstheme="minorHAnsi"/>
          <w:lang w:val="en"/>
        </w:rPr>
      </w:pPr>
    </w:p>
    <w:p w14:paraId="234BB23A" w14:textId="316CC9FD" w:rsidR="00F81211" w:rsidRDefault="00F81211" w:rsidP="00F81211">
      <w:r w:rsidRPr="00060204">
        <w:rPr>
          <w:b/>
          <w:bCs/>
        </w:rPr>
        <w:t>Q</w:t>
      </w:r>
      <w:r>
        <w:rPr>
          <w:b/>
          <w:bCs/>
        </w:rPr>
        <w:t>5</w:t>
      </w:r>
      <w:r>
        <w:t>. Do consultants need a letter of commitment (LOC)?</w:t>
      </w:r>
    </w:p>
    <w:p w14:paraId="2A011BF6" w14:textId="1FBF1B60" w:rsidR="00F81211" w:rsidRPr="00F81211" w:rsidRDefault="00F81211" w:rsidP="00F81211">
      <w:pPr>
        <w:autoSpaceDE w:val="0"/>
        <w:autoSpaceDN w:val="0"/>
        <w:adjustRightInd w:val="0"/>
        <w:spacing w:after="0" w:line="240" w:lineRule="auto"/>
        <w:rPr>
          <w:rFonts w:ascii="TimesNewRomanPSMT" w:hAnsi="TimesNewRomanPSMT" w:cs="TimesNewRomanPSMT"/>
          <w:sz w:val="24"/>
          <w:szCs w:val="24"/>
        </w:rPr>
      </w:pPr>
      <w:r w:rsidRPr="00060204">
        <w:rPr>
          <w:b/>
          <w:bCs/>
        </w:rPr>
        <w:t>A</w:t>
      </w:r>
      <w:r>
        <w:rPr>
          <w:b/>
          <w:bCs/>
        </w:rPr>
        <w:t>5</w:t>
      </w:r>
      <w:r w:rsidRPr="00060204">
        <w:rPr>
          <w:b/>
          <w:bCs/>
        </w:rPr>
        <w:t xml:space="preserve">. </w:t>
      </w:r>
      <w:r>
        <w:t>Yes</w:t>
      </w:r>
      <w:r w:rsidRPr="00F81211">
        <w:rPr>
          <w:rFonts w:cstheme="minorHAnsi"/>
          <w:sz w:val="24"/>
          <w:szCs w:val="24"/>
        </w:rPr>
        <w:t>.</w:t>
      </w:r>
      <w:r>
        <w:rPr>
          <w:rFonts w:ascii="TimesNewRomanPSMT" w:hAnsi="TimesNewRomanPSMT" w:cs="TimesNewRomanPSMT"/>
          <w:sz w:val="24"/>
          <w:szCs w:val="24"/>
        </w:rPr>
        <w:t xml:space="preserve"> </w:t>
      </w:r>
    </w:p>
    <w:p w14:paraId="2842BCA4" w14:textId="1BE3ABC5" w:rsidR="00F81211" w:rsidRDefault="00F81211" w:rsidP="002F6807">
      <w:pPr>
        <w:rPr>
          <w:rFonts w:eastAsia="Times New Roman" w:cstheme="minorHAnsi"/>
          <w:lang w:val="en"/>
        </w:rPr>
      </w:pPr>
    </w:p>
    <w:p w14:paraId="5275FAA5" w14:textId="00EA63AD" w:rsidR="00F81211" w:rsidRDefault="00F81211" w:rsidP="00F81211">
      <w:r w:rsidRPr="00060204">
        <w:rPr>
          <w:b/>
          <w:bCs/>
        </w:rPr>
        <w:t>Q</w:t>
      </w:r>
      <w:r w:rsidR="00760CFD">
        <w:rPr>
          <w:b/>
          <w:bCs/>
        </w:rPr>
        <w:t>6</w:t>
      </w:r>
      <w:r>
        <w:t xml:space="preserve">. Can I use a consultant </w:t>
      </w:r>
      <w:r w:rsidR="00760CFD">
        <w:t xml:space="preserve">from </w:t>
      </w:r>
      <w:r>
        <w:t>outside the U.S</w:t>
      </w:r>
      <w:r w:rsidR="00760CFD">
        <w:t>.?</w:t>
      </w:r>
    </w:p>
    <w:p w14:paraId="131D63AF" w14:textId="566FE0C3" w:rsidR="00F81211" w:rsidRPr="00F81211" w:rsidRDefault="00F81211" w:rsidP="00F81211">
      <w:pPr>
        <w:autoSpaceDE w:val="0"/>
        <w:autoSpaceDN w:val="0"/>
        <w:adjustRightInd w:val="0"/>
        <w:spacing w:after="0" w:line="240" w:lineRule="auto"/>
        <w:rPr>
          <w:rFonts w:ascii="TimesNewRomanPSMT" w:hAnsi="TimesNewRomanPSMT" w:cs="TimesNewRomanPSMT"/>
          <w:sz w:val="24"/>
          <w:szCs w:val="24"/>
        </w:rPr>
      </w:pPr>
      <w:r w:rsidRPr="00060204">
        <w:rPr>
          <w:b/>
          <w:bCs/>
        </w:rPr>
        <w:t>A</w:t>
      </w:r>
      <w:r w:rsidR="00760CFD">
        <w:rPr>
          <w:b/>
          <w:bCs/>
        </w:rPr>
        <w:t>6</w:t>
      </w:r>
      <w:r w:rsidRPr="00060204">
        <w:rPr>
          <w:b/>
          <w:bCs/>
        </w:rPr>
        <w:t xml:space="preserve">. </w:t>
      </w:r>
      <w:r w:rsidR="00760CFD">
        <w:t>No</w:t>
      </w:r>
      <w:r w:rsidRPr="00F81211">
        <w:rPr>
          <w:rFonts w:cstheme="minorHAnsi"/>
          <w:sz w:val="24"/>
          <w:szCs w:val="24"/>
        </w:rPr>
        <w:t>.</w:t>
      </w:r>
      <w:r>
        <w:rPr>
          <w:rFonts w:ascii="TimesNewRomanPSMT" w:hAnsi="TimesNewRomanPSMT" w:cs="TimesNewRomanPSMT"/>
          <w:sz w:val="24"/>
          <w:szCs w:val="24"/>
        </w:rPr>
        <w:t xml:space="preserve"> </w:t>
      </w:r>
    </w:p>
    <w:p w14:paraId="084176C4" w14:textId="1B5C16CE" w:rsidR="00F81211" w:rsidRDefault="00F81211" w:rsidP="002F6807">
      <w:pPr>
        <w:rPr>
          <w:rFonts w:eastAsia="Times New Roman" w:cstheme="minorHAnsi"/>
          <w:lang w:val="en"/>
        </w:rPr>
      </w:pPr>
    </w:p>
    <w:p w14:paraId="5679D853" w14:textId="4A237A44" w:rsidR="00760CFD" w:rsidRDefault="00760CFD" w:rsidP="00760CFD">
      <w:r w:rsidRPr="00060204">
        <w:rPr>
          <w:b/>
          <w:bCs/>
        </w:rPr>
        <w:t>Q</w:t>
      </w:r>
      <w:r>
        <w:rPr>
          <w:b/>
          <w:bCs/>
        </w:rPr>
        <w:t>7</w:t>
      </w:r>
      <w:r>
        <w:t xml:space="preserve">. </w:t>
      </w:r>
      <w:r w:rsidR="00D462BE">
        <w:t>Are Technical and Business Assistance (TABA) vendors considered consultants, even if they may not meet the precise definition</w:t>
      </w:r>
      <w:r w:rsidR="00F21CC5">
        <w:t xml:space="preserve"> (such as attorneys)</w:t>
      </w:r>
      <w:r w:rsidR="00D462BE">
        <w:t>?</w:t>
      </w:r>
    </w:p>
    <w:p w14:paraId="1B6CC537" w14:textId="4E95435F" w:rsidR="00760CFD" w:rsidRDefault="00760CFD" w:rsidP="00760CFD">
      <w:pPr>
        <w:autoSpaceDE w:val="0"/>
        <w:autoSpaceDN w:val="0"/>
        <w:adjustRightInd w:val="0"/>
        <w:spacing w:after="0" w:line="240" w:lineRule="auto"/>
        <w:rPr>
          <w:rFonts w:ascii="TimesNewRomanPSMT" w:hAnsi="TimesNewRomanPSMT" w:cs="TimesNewRomanPSMT"/>
        </w:rPr>
      </w:pPr>
      <w:r w:rsidRPr="00060204">
        <w:rPr>
          <w:b/>
          <w:bCs/>
        </w:rPr>
        <w:t>A</w:t>
      </w:r>
      <w:r>
        <w:rPr>
          <w:b/>
          <w:bCs/>
        </w:rPr>
        <w:t>7</w:t>
      </w:r>
      <w:r w:rsidRPr="00060204">
        <w:rPr>
          <w:b/>
          <w:bCs/>
        </w:rPr>
        <w:t xml:space="preserve">. </w:t>
      </w:r>
      <w:r w:rsidR="00D462BE">
        <w:t>Yes</w:t>
      </w:r>
      <w:r w:rsidRPr="00F21CC5">
        <w:rPr>
          <w:rFonts w:cstheme="minorHAnsi"/>
        </w:rPr>
        <w:t>.</w:t>
      </w:r>
      <w:r w:rsidR="00D462BE" w:rsidRPr="00F21CC5">
        <w:rPr>
          <w:rFonts w:cstheme="minorHAnsi"/>
        </w:rPr>
        <w:t xml:space="preserve"> All TABA service providers</w:t>
      </w:r>
      <w:r w:rsidRPr="00F21CC5">
        <w:rPr>
          <w:rFonts w:cstheme="minorHAnsi"/>
        </w:rPr>
        <w:t xml:space="preserve"> </w:t>
      </w:r>
      <w:r w:rsidR="00D462BE" w:rsidRPr="00F21CC5">
        <w:rPr>
          <w:rFonts w:cstheme="minorHAnsi"/>
        </w:rPr>
        <w:t>should be designated as a consultant in the budget.</w:t>
      </w:r>
    </w:p>
    <w:p w14:paraId="4F467F2F" w14:textId="5E8A0896" w:rsidR="00D462BE" w:rsidRDefault="00D462BE" w:rsidP="00760CFD">
      <w:pPr>
        <w:autoSpaceDE w:val="0"/>
        <w:autoSpaceDN w:val="0"/>
        <w:adjustRightInd w:val="0"/>
        <w:spacing w:after="0" w:line="240" w:lineRule="auto"/>
        <w:rPr>
          <w:rFonts w:ascii="TimesNewRomanPSMT" w:hAnsi="TimesNewRomanPSMT" w:cs="TimesNewRomanPSMT"/>
        </w:rPr>
      </w:pPr>
    </w:p>
    <w:p w14:paraId="74264E93" w14:textId="6358ADF2" w:rsidR="00D462BE" w:rsidRDefault="00D462BE" w:rsidP="00D462BE">
      <w:r w:rsidRPr="00060204">
        <w:rPr>
          <w:b/>
          <w:bCs/>
        </w:rPr>
        <w:lastRenderedPageBreak/>
        <w:t>Q</w:t>
      </w:r>
      <w:r w:rsidR="0075349D">
        <w:rPr>
          <w:b/>
          <w:bCs/>
        </w:rPr>
        <w:t>8</w:t>
      </w:r>
      <w:r>
        <w:t xml:space="preserve">. </w:t>
      </w:r>
      <w:r w:rsidR="0075349D">
        <w:t>Are consultants considered part of the small business research costs when calculating the SBIR/STTR Workshare Level of Effort</w:t>
      </w:r>
      <w:r>
        <w:t>?</w:t>
      </w:r>
    </w:p>
    <w:p w14:paraId="7CA14FF7" w14:textId="04FE37E1" w:rsidR="00D462BE" w:rsidRDefault="00D462BE" w:rsidP="00D462BE">
      <w:pPr>
        <w:autoSpaceDE w:val="0"/>
        <w:autoSpaceDN w:val="0"/>
        <w:adjustRightInd w:val="0"/>
        <w:spacing w:after="0" w:line="240" w:lineRule="auto"/>
      </w:pPr>
      <w:r w:rsidRPr="00060204">
        <w:rPr>
          <w:b/>
          <w:bCs/>
        </w:rPr>
        <w:t>A</w:t>
      </w:r>
      <w:r w:rsidR="0075349D">
        <w:rPr>
          <w:b/>
          <w:bCs/>
        </w:rPr>
        <w:t>8</w:t>
      </w:r>
      <w:r w:rsidRPr="00060204">
        <w:rPr>
          <w:b/>
          <w:bCs/>
        </w:rPr>
        <w:t xml:space="preserve">. </w:t>
      </w:r>
      <w:r w:rsidR="0075349D">
        <w:t>No, according to the FOA:</w:t>
      </w:r>
    </w:p>
    <w:p w14:paraId="455DB207" w14:textId="77777777" w:rsidR="0075349D" w:rsidRPr="0075349D" w:rsidRDefault="0075349D" w:rsidP="0075349D">
      <w:pPr>
        <w:autoSpaceDE w:val="0"/>
        <w:autoSpaceDN w:val="0"/>
        <w:adjustRightInd w:val="0"/>
        <w:spacing w:after="0" w:line="240" w:lineRule="auto"/>
        <w:ind w:left="720"/>
        <w:rPr>
          <w:rFonts w:cstheme="minorHAnsi"/>
          <w:i/>
          <w:iCs/>
        </w:rPr>
      </w:pPr>
      <w:r w:rsidRPr="0075349D">
        <w:rPr>
          <w:rFonts w:cstheme="minorHAnsi"/>
          <w:i/>
          <w:iCs/>
        </w:rPr>
        <w:t>The research or analytical effort is defined as the total requested funding minus</w:t>
      </w:r>
    </w:p>
    <w:p w14:paraId="36839045" w14:textId="77777777" w:rsidR="0075349D" w:rsidRPr="0075349D" w:rsidRDefault="0075349D" w:rsidP="0075349D">
      <w:pPr>
        <w:autoSpaceDE w:val="0"/>
        <w:autoSpaceDN w:val="0"/>
        <w:adjustRightInd w:val="0"/>
        <w:spacing w:after="0" w:line="240" w:lineRule="auto"/>
        <w:ind w:left="720"/>
        <w:rPr>
          <w:rFonts w:cstheme="minorHAnsi"/>
          <w:i/>
          <w:iCs/>
        </w:rPr>
      </w:pPr>
      <w:r w:rsidRPr="0075349D">
        <w:rPr>
          <w:rFonts w:cstheme="minorHAnsi"/>
          <w:i/>
          <w:iCs/>
        </w:rPr>
        <w:t>the cost of any work performed by a consultant, a DOE National Laboratory contractor, and any</w:t>
      </w:r>
    </w:p>
    <w:p w14:paraId="0070EBD4" w14:textId="7042816D" w:rsidR="0075349D" w:rsidRDefault="0075349D" w:rsidP="0075349D">
      <w:pPr>
        <w:autoSpaceDE w:val="0"/>
        <w:autoSpaceDN w:val="0"/>
        <w:adjustRightInd w:val="0"/>
        <w:spacing w:after="0" w:line="240" w:lineRule="auto"/>
        <w:ind w:left="720"/>
        <w:rPr>
          <w:rFonts w:ascii="TimesNewRomanPSMT" w:hAnsi="TimesNewRomanPSMT" w:cs="TimesNewRomanPSMT"/>
        </w:rPr>
      </w:pPr>
      <w:proofErr w:type="gramStart"/>
      <w:r w:rsidRPr="0075349D">
        <w:rPr>
          <w:rFonts w:cstheme="minorHAnsi"/>
          <w:i/>
          <w:iCs/>
        </w:rPr>
        <w:t>other</w:t>
      </w:r>
      <w:proofErr w:type="gramEnd"/>
      <w:r w:rsidRPr="0075349D">
        <w:rPr>
          <w:rFonts w:cstheme="minorHAnsi"/>
          <w:i/>
          <w:iCs/>
        </w:rPr>
        <w:t xml:space="preserve"> subcontractor, including TABA.</w:t>
      </w:r>
    </w:p>
    <w:p w14:paraId="70784C83" w14:textId="77777777" w:rsidR="00D462BE" w:rsidRPr="00D462BE" w:rsidRDefault="00D462BE" w:rsidP="00760CFD">
      <w:pPr>
        <w:autoSpaceDE w:val="0"/>
        <w:autoSpaceDN w:val="0"/>
        <w:adjustRightInd w:val="0"/>
        <w:spacing w:after="0" w:line="240" w:lineRule="auto"/>
        <w:rPr>
          <w:rFonts w:ascii="TimesNewRomanPSMT" w:hAnsi="TimesNewRomanPSMT" w:cs="TimesNewRomanPSMT"/>
        </w:rPr>
      </w:pPr>
    </w:p>
    <w:p w14:paraId="47BD214F" w14:textId="04B7665F" w:rsidR="00180418" w:rsidRPr="00227447" w:rsidRDefault="00180418" w:rsidP="008549ED">
      <w:pPr>
        <w:rPr>
          <w:rFonts w:cstheme="minorHAnsi"/>
        </w:rPr>
      </w:pPr>
    </w:p>
    <w:sectPr w:rsidR="00180418" w:rsidRPr="002274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E491" w14:textId="77777777" w:rsidR="00475BAF" w:rsidRDefault="00475BAF" w:rsidP="00475BAF">
      <w:pPr>
        <w:spacing w:after="0" w:line="240" w:lineRule="auto"/>
      </w:pPr>
      <w:r>
        <w:separator/>
      </w:r>
    </w:p>
  </w:endnote>
  <w:endnote w:type="continuationSeparator" w:id="0">
    <w:p w14:paraId="7341BF6E" w14:textId="77777777" w:rsidR="00475BAF" w:rsidRDefault="00475BAF" w:rsidP="00475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FF149" w14:textId="77777777" w:rsidR="00475BAF" w:rsidRDefault="00475BAF" w:rsidP="00475BAF">
      <w:pPr>
        <w:spacing w:after="0" w:line="240" w:lineRule="auto"/>
      </w:pPr>
      <w:r>
        <w:separator/>
      </w:r>
    </w:p>
  </w:footnote>
  <w:footnote w:type="continuationSeparator" w:id="0">
    <w:p w14:paraId="52C8740C" w14:textId="77777777" w:rsidR="00475BAF" w:rsidRDefault="00475BAF" w:rsidP="00475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A3B4" w14:textId="1BE373E2" w:rsidR="00475BAF" w:rsidRDefault="00475BAF">
    <w:pPr>
      <w:pStyle w:val="Header"/>
    </w:pPr>
    <w:r>
      <w:rPr>
        <w:noProof/>
      </w:rPr>
      <w:drawing>
        <wp:inline distT="0" distB="0" distL="0" distR="0" wp14:anchorId="7FE15401" wp14:editId="02609F55">
          <wp:extent cx="1533525" cy="533400"/>
          <wp:effectExtent l="0" t="0" r="9525" b="0"/>
          <wp:docPr id="3"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33525"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D70CB"/>
    <w:multiLevelType w:val="hybridMultilevel"/>
    <w:tmpl w:val="C61A89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791CAF"/>
    <w:multiLevelType w:val="hybridMultilevel"/>
    <w:tmpl w:val="8E140940"/>
    <w:lvl w:ilvl="0" w:tplc="9EE2E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853CE0"/>
    <w:multiLevelType w:val="hybridMultilevel"/>
    <w:tmpl w:val="DB9C7774"/>
    <w:lvl w:ilvl="0" w:tplc="D1BA6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D271CA"/>
    <w:multiLevelType w:val="hybridMultilevel"/>
    <w:tmpl w:val="D73A5E34"/>
    <w:lvl w:ilvl="0" w:tplc="59428A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B156A7"/>
    <w:multiLevelType w:val="hybridMultilevel"/>
    <w:tmpl w:val="68621222"/>
    <w:lvl w:ilvl="0" w:tplc="12F20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4419026">
    <w:abstractNumId w:val="4"/>
  </w:num>
  <w:num w:numId="2" w16cid:durableId="345642570">
    <w:abstractNumId w:val="1"/>
  </w:num>
  <w:num w:numId="3" w16cid:durableId="1910145016">
    <w:abstractNumId w:val="3"/>
  </w:num>
  <w:num w:numId="4" w16cid:durableId="848250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3326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8B"/>
    <w:rsid w:val="00000FE3"/>
    <w:rsid w:val="000332B6"/>
    <w:rsid w:val="0003504C"/>
    <w:rsid w:val="00036C73"/>
    <w:rsid w:val="00053514"/>
    <w:rsid w:val="00060204"/>
    <w:rsid w:val="0006628F"/>
    <w:rsid w:val="00073285"/>
    <w:rsid w:val="0007573B"/>
    <w:rsid w:val="00084AAE"/>
    <w:rsid w:val="000A0A63"/>
    <w:rsid w:val="000B7825"/>
    <w:rsid w:val="000D6A8B"/>
    <w:rsid w:val="000E2ABA"/>
    <w:rsid w:val="000E2CDF"/>
    <w:rsid w:val="00101366"/>
    <w:rsid w:val="00102AAD"/>
    <w:rsid w:val="00135326"/>
    <w:rsid w:val="001402CA"/>
    <w:rsid w:val="00154679"/>
    <w:rsid w:val="001758F3"/>
    <w:rsid w:val="0017781B"/>
    <w:rsid w:val="00180418"/>
    <w:rsid w:val="00192762"/>
    <w:rsid w:val="001B23B7"/>
    <w:rsid w:val="001C3B13"/>
    <w:rsid w:val="001F50CD"/>
    <w:rsid w:val="00201453"/>
    <w:rsid w:val="00227447"/>
    <w:rsid w:val="00231196"/>
    <w:rsid w:val="002940E4"/>
    <w:rsid w:val="002966BA"/>
    <w:rsid w:val="002D2688"/>
    <w:rsid w:val="002D78A1"/>
    <w:rsid w:val="002E0AF0"/>
    <w:rsid w:val="002F6807"/>
    <w:rsid w:val="003003CA"/>
    <w:rsid w:val="00323691"/>
    <w:rsid w:val="00324ED2"/>
    <w:rsid w:val="003656C9"/>
    <w:rsid w:val="003921D8"/>
    <w:rsid w:val="00392502"/>
    <w:rsid w:val="003A5C74"/>
    <w:rsid w:val="003D5D78"/>
    <w:rsid w:val="003D656F"/>
    <w:rsid w:val="003E3412"/>
    <w:rsid w:val="003E5E51"/>
    <w:rsid w:val="00407D7D"/>
    <w:rsid w:val="004216A6"/>
    <w:rsid w:val="00475BAF"/>
    <w:rsid w:val="004848E9"/>
    <w:rsid w:val="004949E3"/>
    <w:rsid w:val="00497D0E"/>
    <w:rsid w:val="004B1527"/>
    <w:rsid w:val="004E15F0"/>
    <w:rsid w:val="004E7FB5"/>
    <w:rsid w:val="004F4138"/>
    <w:rsid w:val="005018F1"/>
    <w:rsid w:val="00521A4C"/>
    <w:rsid w:val="005358AD"/>
    <w:rsid w:val="00542383"/>
    <w:rsid w:val="00561BEF"/>
    <w:rsid w:val="005734E7"/>
    <w:rsid w:val="00573E1F"/>
    <w:rsid w:val="00584C6E"/>
    <w:rsid w:val="0059063F"/>
    <w:rsid w:val="00594F39"/>
    <w:rsid w:val="005C422E"/>
    <w:rsid w:val="005D54CF"/>
    <w:rsid w:val="005F75C4"/>
    <w:rsid w:val="00602B7F"/>
    <w:rsid w:val="00603B19"/>
    <w:rsid w:val="0061054F"/>
    <w:rsid w:val="00612AD9"/>
    <w:rsid w:val="00616150"/>
    <w:rsid w:val="00622126"/>
    <w:rsid w:val="006226EF"/>
    <w:rsid w:val="0064024F"/>
    <w:rsid w:val="00653487"/>
    <w:rsid w:val="00665DF7"/>
    <w:rsid w:val="00670DC1"/>
    <w:rsid w:val="00674D0F"/>
    <w:rsid w:val="006823AF"/>
    <w:rsid w:val="006A207F"/>
    <w:rsid w:val="006C6D13"/>
    <w:rsid w:val="006C72EA"/>
    <w:rsid w:val="006D449F"/>
    <w:rsid w:val="006E0779"/>
    <w:rsid w:val="006E239F"/>
    <w:rsid w:val="006F7F92"/>
    <w:rsid w:val="00702592"/>
    <w:rsid w:val="00707B6E"/>
    <w:rsid w:val="0071443A"/>
    <w:rsid w:val="007278E2"/>
    <w:rsid w:val="0075349D"/>
    <w:rsid w:val="00753C4E"/>
    <w:rsid w:val="00760CFD"/>
    <w:rsid w:val="0076727E"/>
    <w:rsid w:val="00767955"/>
    <w:rsid w:val="0077453B"/>
    <w:rsid w:val="0078137B"/>
    <w:rsid w:val="00781AA5"/>
    <w:rsid w:val="00794A2A"/>
    <w:rsid w:val="007A0527"/>
    <w:rsid w:val="007C2666"/>
    <w:rsid w:val="007C47E2"/>
    <w:rsid w:val="007C753B"/>
    <w:rsid w:val="007D3902"/>
    <w:rsid w:val="007F7F25"/>
    <w:rsid w:val="00812581"/>
    <w:rsid w:val="00822EE4"/>
    <w:rsid w:val="00826A12"/>
    <w:rsid w:val="00835C88"/>
    <w:rsid w:val="00853FFB"/>
    <w:rsid w:val="008549ED"/>
    <w:rsid w:val="008662EA"/>
    <w:rsid w:val="00867B0E"/>
    <w:rsid w:val="00877B5B"/>
    <w:rsid w:val="0089348D"/>
    <w:rsid w:val="008D1362"/>
    <w:rsid w:val="008E7790"/>
    <w:rsid w:val="008F291B"/>
    <w:rsid w:val="008F6B9A"/>
    <w:rsid w:val="00916BC8"/>
    <w:rsid w:val="009331C5"/>
    <w:rsid w:val="00933754"/>
    <w:rsid w:val="00954524"/>
    <w:rsid w:val="009744FF"/>
    <w:rsid w:val="009772C7"/>
    <w:rsid w:val="00977E7F"/>
    <w:rsid w:val="0098406A"/>
    <w:rsid w:val="00986F52"/>
    <w:rsid w:val="009A39E4"/>
    <w:rsid w:val="009D5736"/>
    <w:rsid w:val="009E52E0"/>
    <w:rsid w:val="00A33F67"/>
    <w:rsid w:val="00A56F8F"/>
    <w:rsid w:val="00A63AC8"/>
    <w:rsid w:val="00A71CB3"/>
    <w:rsid w:val="00A76DFB"/>
    <w:rsid w:val="00A80B69"/>
    <w:rsid w:val="00A8485F"/>
    <w:rsid w:val="00A850DB"/>
    <w:rsid w:val="00A90F9A"/>
    <w:rsid w:val="00A942F6"/>
    <w:rsid w:val="00A97017"/>
    <w:rsid w:val="00AD3E59"/>
    <w:rsid w:val="00AD43F2"/>
    <w:rsid w:val="00AE6235"/>
    <w:rsid w:val="00AF2115"/>
    <w:rsid w:val="00AF2ABE"/>
    <w:rsid w:val="00B052D6"/>
    <w:rsid w:val="00B15DD1"/>
    <w:rsid w:val="00B22931"/>
    <w:rsid w:val="00B24349"/>
    <w:rsid w:val="00B2487C"/>
    <w:rsid w:val="00B30EEA"/>
    <w:rsid w:val="00B52D5A"/>
    <w:rsid w:val="00B80E5D"/>
    <w:rsid w:val="00B918DC"/>
    <w:rsid w:val="00BA2CA7"/>
    <w:rsid w:val="00BB2233"/>
    <w:rsid w:val="00BF7A8D"/>
    <w:rsid w:val="00C036C7"/>
    <w:rsid w:val="00C22082"/>
    <w:rsid w:val="00C24DFE"/>
    <w:rsid w:val="00C34C9B"/>
    <w:rsid w:val="00C43042"/>
    <w:rsid w:val="00C528C9"/>
    <w:rsid w:val="00C65137"/>
    <w:rsid w:val="00C6786B"/>
    <w:rsid w:val="00CA23C3"/>
    <w:rsid w:val="00CA4276"/>
    <w:rsid w:val="00CC12A7"/>
    <w:rsid w:val="00CF12EF"/>
    <w:rsid w:val="00D21C48"/>
    <w:rsid w:val="00D35665"/>
    <w:rsid w:val="00D462BE"/>
    <w:rsid w:val="00D63695"/>
    <w:rsid w:val="00D7376A"/>
    <w:rsid w:val="00D74F95"/>
    <w:rsid w:val="00D83217"/>
    <w:rsid w:val="00D87D42"/>
    <w:rsid w:val="00D956C1"/>
    <w:rsid w:val="00DA228E"/>
    <w:rsid w:val="00DB1C5E"/>
    <w:rsid w:val="00DC10A0"/>
    <w:rsid w:val="00DD6F2C"/>
    <w:rsid w:val="00DE3321"/>
    <w:rsid w:val="00E02D4C"/>
    <w:rsid w:val="00E0665B"/>
    <w:rsid w:val="00E36ACF"/>
    <w:rsid w:val="00E42FE8"/>
    <w:rsid w:val="00E4770A"/>
    <w:rsid w:val="00E706E7"/>
    <w:rsid w:val="00E71FBD"/>
    <w:rsid w:val="00E82958"/>
    <w:rsid w:val="00E8434E"/>
    <w:rsid w:val="00E96FD2"/>
    <w:rsid w:val="00EA7EEA"/>
    <w:rsid w:val="00ED0C74"/>
    <w:rsid w:val="00F21CC5"/>
    <w:rsid w:val="00F27068"/>
    <w:rsid w:val="00F36E61"/>
    <w:rsid w:val="00F37ED0"/>
    <w:rsid w:val="00F81211"/>
    <w:rsid w:val="00F9190C"/>
    <w:rsid w:val="00FA169D"/>
    <w:rsid w:val="00FA1E19"/>
    <w:rsid w:val="00FC01B9"/>
    <w:rsid w:val="00FD2332"/>
    <w:rsid w:val="00FE3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CC18"/>
  <w15:chartTrackingRefBased/>
  <w15:docId w15:val="{98126675-8148-49BE-AFC8-81DE4A35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A8B"/>
    <w:pPr>
      <w:ind w:left="720"/>
      <w:contextualSpacing/>
    </w:pPr>
  </w:style>
  <w:style w:type="character" w:styleId="Hyperlink">
    <w:name w:val="Hyperlink"/>
    <w:basedOn w:val="DefaultParagraphFont"/>
    <w:uiPriority w:val="99"/>
    <w:unhideWhenUsed/>
    <w:rsid w:val="00D83217"/>
    <w:rPr>
      <w:color w:val="0563C1" w:themeColor="hyperlink"/>
      <w:u w:val="single"/>
    </w:rPr>
  </w:style>
  <w:style w:type="character" w:styleId="UnresolvedMention">
    <w:name w:val="Unresolved Mention"/>
    <w:basedOn w:val="DefaultParagraphFont"/>
    <w:uiPriority w:val="99"/>
    <w:semiHidden/>
    <w:unhideWhenUsed/>
    <w:rsid w:val="00D83217"/>
    <w:rPr>
      <w:color w:val="605E5C"/>
      <w:shd w:val="clear" w:color="auto" w:fill="E1DFDD"/>
    </w:rPr>
  </w:style>
  <w:style w:type="paragraph" w:styleId="Header">
    <w:name w:val="header"/>
    <w:basedOn w:val="Normal"/>
    <w:link w:val="HeaderChar"/>
    <w:uiPriority w:val="99"/>
    <w:unhideWhenUsed/>
    <w:rsid w:val="00475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BAF"/>
  </w:style>
  <w:style w:type="paragraph" w:styleId="Footer">
    <w:name w:val="footer"/>
    <w:basedOn w:val="Normal"/>
    <w:link w:val="FooterChar"/>
    <w:uiPriority w:val="99"/>
    <w:unhideWhenUsed/>
    <w:rsid w:val="00475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Donley</dc:creator>
  <cp:keywords/>
  <dc:description/>
  <cp:lastModifiedBy>Dave Donley</cp:lastModifiedBy>
  <cp:revision>8</cp:revision>
  <dcterms:created xsi:type="dcterms:W3CDTF">2022-08-18T22:29:00Z</dcterms:created>
  <dcterms:modified xsi:type="dcterms:W3CDTF">2022-09-22T21:37:00Z</dcterms:modified>
</cp:coreProperties>
</file>