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625F" w14:textId="77777777" w:rsidR="008C299E" w:rsidRDefault="008C299E">
      <w:pPr>
        <w:rPr>
          <w:b/>
          <w:bCs/>
        </w:rPr>
      </w:pPr>
    </w:p>
    <w:p w14:paraId="619C0816" w14:textId="70ABAC56" w:rsidR="00E4770A" w:rsidRPr="00060204" w:rsidRDefault="000D6A8B">
      <w:pPr>
        <w:rPr>
          <w:b/>
          <w:bCs/>
        </w:rPr>
      </w:pPr>
      <w:r w:rsidRPr="00060204">
        <w:rPr>
          <w:b/>
          <w:bCs/>
        </w:rPr>
        <w:t>FAQs – Labor</w:t>
      </w:r>
    </w:p>
    <w:p w14:paraId="75CB0DF1" w14:textId="1E5830E5" w:rsidR="000D6A8B" w:rsidRDefault="000D6A8B">
      <w:r w:rsidRPr="00060204">
        <w:rPr>
          <w:b/>
          <w:bCs/>
        </w:rPr>
        <w:t>Q1.</w:t>
      </w:r>
      <w:r>
        <w:t xml:space="preserve"> Whose labor goes into </w:t>
      </w:r>
      <w:r w:rsidR="00573E1F">
        <w:t>what</w:t>
      </w:r>
      <w:r>
        <w:t xml:space="preserve"> section</w:t>
      </w:r>
      <w:r w:rsidR="00573E1F">
        <w:t>s of the budget</w:t>
      </w:r>
      <w:r>
        <w:t>?</w:t>
      </w:r>
    </w:p>
    <w:p w14:paraId="225B469F" w14:textId="0B103A25" w:rsidR="000D6A8B" w:rsidRDefault="000D6A8B">
      <w:r w:rsidRPr="00060204">
        <w:rPr>
          <w:b/>
          <w:bCs/>
        </w:rPr>
        <w:t>A1.</w:t>
      </w:r>
      <w:r>
        <w:t xml:space="preserve"> </w:t>
      </w:r>
      <w:r w:rsidR="00573E1F">
        <w:t>Labor</w:t>
      </w:r>
      <w:r>
        <w:t xml:space="preserve"> </w:t>
      </w:r>
      <w:r w:rsidR="00573E1F">
        <w:t>may be</w:t>
      </w:r>
      <w:r>
        <w:t xml:space="preserve"> </w:t>
      </w:r>
      <w:r w:rsidR="0077453B">
        <w:t xml:space="preserve">in the form of </w:t>
      </w:r>
      <w:r>
        <w:t>these categories:</w:t>
      </w:r>
    </w:p>
    <w:p w14:paraId="78BD440A" w14:textId="64647A8A" w:rsidR="000D6A8B" w:rsidRDefault="00767955" w:rsidP="000D6A8B">
      <w:pPr>
        <w:pStyle w:val="ListParagraph"/>
        <w:numPr>
          <w:ilvl w:val="0"/>
          <w:numId w:val="1"/>
        </w:numPr>
      </w:pPr>
      <w:r>
        <w:t>Senior/Key Person</w:t>
      </w:r>
    </w:p>
    <w:p w14:paraId="7DBDFD7C" w14:textId="65E29F3B" w:rsidR="00FE316D" w:rsidRDefault="00FE316D" w:rsidP="000D6A8B">
      <w:pPr>
        <w:pStyle w:val="ListParagraph"/>
        <w:numPr>
          <w:ilvl w:val="0"/>
          <w:numId w:val="1"/>
        </w:numPr>
      </w:pPr>
      <w:r>
        <w:t>Other person</w:t>
      </w:r>
      <w:r w:rsidR="00E02D4C">
        <w:t>nel</w:t>
      </w:r>
    </w:p>
    <w:p w14:paraId="420386EE" w14:textId="2A21F40F" w:rsidR="00E02D4C" w:rsidRDefault="00E02D4C" w:rsidP="000D6A8B">
      <w:pPr>
        <w:pStyle w:val="ListParagraph"/>
        <w:numPr>
          <w:ilvl w:val="0"/>
          <w:numId w:val="1"/>
        </w:numPr>
      </w:pPr>
      <w:r>
        <w:t>Consultants</w:t>
      </w:r>
    </w:p>
    <w:p w14:paraId="739CB9EA" w14:textId="5646AF9D" w:rsidR="00E02D4C" w:rsidRDefault="00E02D4C" w:rsidP="000D6A8B">
      <w:pPr>
        <w:pStyle w:val="ListParagraph"/>
        <w:numPr>
          <w:ilvl w:val="0"/>
          <w:numId w:val="1"/>
        </w:numPr>
      </w:pPr>
      <w:r>
        <w:t>Subawards</w:t>
      </w:r>
    </w:p>
    <w:p w14:paraId="70CC0E65" w14:textId="7BD2D842" w:rsidR="00E02D4C" w:rsidRDefault="00616150" w:rsidP="000D6A8B">
      <w:pPr>
        <w:pStyle w:val="ListParagraph"/>
        <w:numPr>
          <w:ilvl w:val="0"/>
          <w:numId w:val="1"/>
        </w:numPr>
      </w:pPr>
      <w:r>
        <w:t>Independent contractors (</w:t>
      </w:r>
      <w:r w:rsidR="00E02D4C">
        <w:t>1099s</w:t>
      </w:r>
      <w:r>
        <w:t>)</w:t>
      </w:r>
    </w:p>
    <w:p w14:paraId="2F7601E5" w14:textId="566E0753" w:rsidR="002F6807" w:rsidRDefault="002F6807" w:rsidP="00060204">
      <w:pPr>
        <w:ind w:left="720"/>
      </w:pPr>
      <w:r w:rsidRPr="00F36E61">
        <w:rPr>
          <w:b/>
          <w:bCs/>
        </w:rPr>
        <w:t>Senior/Key Person</w:t>
      </w:r>
      <w:r>
        <w:t xml:space="preserve"> budget is reserved for</w:t>
      </w:r>
      <w:r w:rsidR="009772C7">
        <w:t xml:space="preserve"> the Small Business PI and any others identified in the technical narrative</w:t>
      </w:r>
      <w:r w:rsidR="007C753B">
        <w:t xml:space="preserve"> </w:t>
      </w:r>
      <w:r w:rsidR="009772C7">
        <w:t>as a Key Person.</w:t>
      </w:r>
      <w:r w:rsidR="007C753B">
        <w:t xml:space="preserve"> </w:t>
      </w:r>
      <w:r w:rsidR="00CA4276">
        <w:t>These would be</w:t>
      </w:r>
      <w:r w:rsidR="0076727E">
        <w:t xml:space="preserve"> individuals </w:t>
      </w:r>
      <w:r w:rsidR="006E0779">
        <w:t xml:space="preserve">working for the small business as a W2 employee. </w:t>
      </w:r>
      <w:r w:rsidR="007C753B">
        <w:t xml:space="preserve">In the case of an STTR, the PI </w:t>
      </w:r>
      <w:r w:rsidR="006E0779">
        <w:t xml:space="preserve">labor budget </w:t>
      </w:r>
      <w:r w:rsidR="007C753B">
        <w:t>may be with the STTR partner as a Key Person.</w:t>
      </w:r>
    </w:p>
    <w:p w14:paraId="35B5A5E5" w14:textId="6ADA265F" w:rsidR="00CA4276" w:rsidRDefault="00CA4276" w:rsidP="00060204">
      <w:pPr>
        <w:ind w:left="720"/>
      </w:pPr>
      <w:r w:rsidRPr="008E7790">
        <w:rPr>
          <w:b/>
          <w:bCs/>
        </w:rPr>
        <w:t xml:space="preserve">Other </w:t>
      </w:r>
      <w:r w:rsidR="00F36E61" w:rsidRPr="008E7790">
        <w:rPr>
          <w:b/>
          <w:bCs/>
        </w:rPr>
        <w:t>P</w:t>
      </w:r>
      <w:r w:rsidRPr="008E7790">
        <w:rPr>
          <w:b/>
          <w:bCs/>
        </w:rPr>
        <w:t>ersonnel</w:t>
      </w:r>
      <w:r>
        <w:t xml:space="preserve"> budget is for </w:t>
      </w:r>
      <w:r w:rsidR="0089348D">
        <w:t>those small business employees not mentioned in the technical narrative.</w:t>
      </w:r>
    </w:p>
    <w:p w14:paraId="5E0F142B" w14:textId="406E46E9" w:rsidR="001C3B13" w:rsidRDefault="00154679" w:rsidP="00060204">
      <w:pPr>
        <w:ind w:left="720"/>
      </w:pPr>
      <w:r w:rsidRPr="00616150">
        <w:rPr>
          <w:b/>
          <w:bCs/>
        </w:rPr>
        <w:t>Consultants</w:t>
      </w:r>
      <w:r>
        <w:t xml:space="preserve"> are typically 3</w:t>
      </w:r>
      <w:r w:rsidRPr="00154679">
        <w:rPr>
          <w:vertAlign w:val="superscript"/>
        </w:rPr>
        <w:t>rd</w:t>
      </w:r>
      <w:r>
        <w:t xml:space="preserve">-party individuals </w:t>
      </w:r>
      <w:r w:rsidR="00497D0E">
        <w:t>whose budget would fall under Section F. of the budget</w:t>
      </w:r>
      <w:r w:rsidR="001C3B13">
        <w:t>.</w:t>
      </w:r>
      <w:r w:rsidR="00A8485F">
        <w:t xml:space="preserve"> Consultants may be identified as “Key Persons” in the Technical Narrative.</w:t>
      </w:r>
    </w:p>
    <w:p w14:paraId="6E6A4ACE" w14:textId="7F2C0890" w:rsidR="00497D0E" w:rsidRDefault="00497D0E" w:rsidP="00060204">
      <w:pPr>
        <w:ind w:left="720"/>
      </w:pPr>
      <w:r w:rsidRPr="00616150">
        <w:rPr>
          <w:b/>
          <w:bCs/>
        </w:rPr>
        <w:t>Subaward</w:t>
      </w:r>
      <w:r>
        <w:t xml:space="preserve"> labor will </w:t>
      </w:r>
      <w:r w:rsidR="001C3B13">
        <w:t xml:space="preserve">reside within the </w:t>
      </w:r>
      <w:r w:rsidR="00B2487C">
        <w:t xml:space="preserve">total </w:t>
      </w:r>
      <w:r w:rsidR="001C3B13">
        <w:t>budget from the subawardee</w:t>
      </w:r>
      <w:r w:rsidR="00B2487C">
        <w:t>, Section F</w:t>
      </w:r>
      <w:r w:rsidR="001C3B13">
        <w:t>.</w:t>
      </w:r>
    </w:p>
    <w:p w14:paraId="231F0146" w14:textId="5751820F" w:rsidR="001C3B13" w:rsidRDefault="001C3B13" w:rsidP="00060204">
      <w:pPr>
        <w:ind w:left="720"/>
      </w:pPr>
      <w:r w:rsidRPr="00616150">
        <w:rPr>
          <w:b/>
          <w:bCs/>
        </w:rPr>
        <w:t>Independent contractors</w:t>
      </w:r>
      <w:r>
        <w:t xml:space="preserve"> (1099s)</w:t>
      </w:r>
      <w:r w:rsidR="00665DF7">
        <w:t xml:space="preserve"> budget would also be shown in Section F.</w:t>
      </w:r>
    </w:p>
    <w:p w14:paraId="28D9D868" w14:textId="77777777" w:rsidR="00C60E33" w:rsidRDefault="00C60E33" w:rsidP="00060204">
      <w:pPr>
        <w:ind w:left="720"/>
      </w:pPr>
    </w:p>
    <w:p w14:paraId="017D816A" w14:textId="77777777" w:rsidR="00D35665" w:rsidRDefault="00B2487C" w:rsidP="002F6807">
      <w:r w:rsidRPr="00060204">
        <w:rPr>
          <w:b/>
          <w:bCs/>
        </w:rPr>
        <w:t>Q2</w:t>
      </w:r>
      <w:r>
        <w:t xml:space="preserve">. </w:t>
      </w:r>
      <w:r w:rsidR="00D35665">
        <w:t>How should</w:t>
      </w:r>
      <w:r>
        <w:t xml:space="preserve"> LLC members </w:t>
      </w:r>
      <w:r w:rsidR="00D35665">
        <w:t>be shown in the budget?</w:t>
      </w:r>
    </w:p>
    <w:p w14:paraId="6CF75C21" w14:textId="3FCEC07B" w:rsidR="00B2487C" w:rsidRDefault="00D35665" w:rsidP="002F6807">
      <w:r w:rsidRPr="00060204">
        <w:rPr>
          <w:b/>
          <w:bCs/>
        </w:rPr>
        <w:t>A2</w:t>
      </w:r>
      <w:r>
        <w:t xml:space="preserve">. LLC members can </w:t>
      </w:r>
      <w:r w:rsidR="00B22931">
        <w:t>generate an hourly rate as if they were “salaried” individuals for purposes of calculating labor costs.</w:t>
      </w:r>
      <w:r w:rsidR="00102AAD">
        <w:t xml:space="preserve"> </w:t>
      </w:r>
    </w:p>
    <w:p w14:paraId="7C64067D" w14:textId="77777777" w:rsidR="00C60E33" w:rsidRDefault="00C60E33" w:rsidP="002F6807"/>
    <w:p w14:paraId="79BB1389" w14:textId="6AAEE74E" w:rsidR="00C43042" w:rsidRDefault="00DD6F2C" w:rsidP="002F6807">
      <w:r w:rsidRPr="00060204">
        <w:rPr>
          <w:b/>
          <w:bCs/>
        </w:rPr>
        <w:t>Q3</w:t>
      </w:r>
      <w:r>
        <w:t>. What are the rules and limitations for the PI?</w:t>
      </w:r>
    </w:p>
    <w:p w14:paraId="52EC8EBA" w14:textId="0EA6F250" w:rsidR="00DD6F2C" w:rsidRDefault="00DD6F2C" w:rsidP="002F6807">
      <w:r w:rsidRPr="00060204">
        <w:rPr>
          <w:b/>
          <w:bCs/>
        </w:rPr>
        <w:t>A</w:t>
      </w:r>
      <w:r w:rsidR="00FC01B9" w:rsidRPr="00060204">
        <w:rPr>
          <w:b/>
          <w:bCs/>
        </w:rPr>
        <w:t>3</w:t>
      </w:r>
      <w:r w:rsidRPr="00060204">
        <w:rPr>
          <w:b/>
          <w:bCs/>
        </w:rPr>
        <w:t xml:space="preserve">. </w:t>
      </w:r>
      <w:r w:rsidR="00FC01B9" w:rsidRPr="00060204">
        <w:rPr>
          <w:b/>
          <w:bCs/>
        </w:rPr>
        <w:t xml:space="preserve"> </w:t>
      </w:r>
      <w:r w:rsidR="00FC01B9">
        <w:t xml:space="preserve">They must be </w:t>
      </w:r>
      <w:r w:rsidR="00BB2233">
        <w:t xml:space="preserve">a U.S. citizen and </w:t>
      </w:r>
      <w:r w:rsidR="00FC01B9">
        <w:t xml:space="preserve">employed by the small business at least half time. </w:t>
      </w:r>
      <w:r w:rsidR="006C6D13">
        <w:t>They must work on the SBIR/STTR project a minimum of 156 hours.</w:t>
      </w:r>
    </w:p>
    <w:p w14:paraId="3A114BFB" w14:textId="77777777" w:rsidR="00C60E33" w:rsidRDefault="00C60E33" w:rsidP="002F6807"/>
    <w:p w14:paraId="35AAB297" w14:textId="7DED64CF" w:rsidR="00542383" w:rsidRPr="00060204" w:rsidRDefault="00542383" w:rsidP="002F6807">
      <w:r w:rsidRPr="00060204">
        <w:rPr>
          <w:b/>
          <w:bCs/>
        </w:rPr>
        <w:t xml:space="preserve">Q4. </w:t>
      </w:r>
      <w:r w:rsidR="005F75C4" w:rsidRPr="00060204">
        <w:t>How much salary should I propose for the budget?</w:t>
      </w:r>
    </w:p>
    <w:p w14:paraId="17416252" w14:textId="6582EE7B" w:rsidR="005F75C4" w:rsidRDefault="005F75C4" w:rsidP="002F6807">
      <w:r w:rsidRPr="00060204">
        <w:rPr>
          <w:b/>
          <w:bCs/>
        </w:rPr>
        <w:t>A4.</w:t>
      </w:r>
      <w:r>
        <w:t xml:space="preserve"> </w:t>
      </w:r>
      <w:r w:rsidR="00C6786B">
        <w:t xml:space="preserve">While there is no formal cap on salary, </w:t>
      </w:r>
      <w:r w:rsidR="004848E9">
        <w:t xml:space="preserve">salary levels will be evaluated </w:t>
      </w:r>
      <w:r w:rsidR="006A207F">
        <w:t>as being “fair and reasonable.” One objective measure of salary I the Bureau of Labor Statistics</w:t>
      </w:r>
      <w:r w:rsidR="00392502">
        <w:t xml:space="preserve"> database. The DOE will also accept salary data from website such as Salary.com and </w:t>
      </w:r>
      <w:r w:rsidR="006C72EA">
        <w:t xml:space="preserve">Glass.door.com. Other resources may be professional </w:t>
      </w:r>
      <w:r w:rsidR="007278E2">
        <w:t>organization salary surveys, or other reputable HR resource you can access.</w:t>
      </w:r>
    </w:p>
    <w:p w14:paraId="4A3F3E84" w14:textId="77777777" w:rsidR="00C60E33" w:rsidRDefault="00C60E33" w:rsidP="002F6807"/>
    <w:p w14:paraId="6B03C796" w14:textId="6224136D" w:rsidR="00781AA5" w:rsidRDefault="00781AA5" w:rsidP="002F6807">
      <w:r w:rsidRPr="00060204">
        <w:rPr>
          <w:b/>
          <w:bCs/>
        </w:rPr>
        <w:t>Q5</w:t>
      </w:r>
      <w:r w:rsidR="00060204">
        <w:t>.</w:t>
      </w:r>
      <w:r>
        <w:t xml:space="preserve"> How is labor actually calculated?</w:t>
      </w:r>
    </w:p>
    <w:p w14:paraId="57C294EB" w14:textId="52CBD9DD" w:rsidR="00781AA5" w:rsidRDefault="00781AA5" w:rsidP="002F6807">
      <w:r w:rsidRPr="00060204">
        <w:rPr>
          <w:b/>
          <w:bCs/>
        </w:rPr>
        <w:t>A5.</w:t>
      </w:r>
      <w:r>
        <w:t xml:space="preserve"> The common method is to select a reasonable annual salary</w:t>
      </w:r>
      <w:r w:rsidR="00853FFB">
        <w:t>, then divide by 2,080 standa</w:t>
      </w:r>
      <w:r w:rsidR="00A942F6">
        <w:t>r</w:t>
      </w:r>
      <w:r w:rsidR="00853FFB">
        <w:t>d work hours in a year to derive</w:t>
      </w:r>
      <w:r w:rsidR="00A942F6">
        <w:t xml:space="preserve"> an hourly rate. Do this even if you only work part time. Estimate the hours dedicated to the project. Multiply those hours by the hourly rate to derive </w:t>
      </w:r>
      <w:r w:rsidR="0078137B">
        <w:t>the labor budget.</w:t>
      </w:r>
    </w:p>
    <w:p w14:paraId="0D6A7C23" w14:textId="77777777" w:rsidR="00C60E33" w:rsidRDefault="00C60E33" w:rsidP="002F6807"/>
    <w:p w14:paraId="7171DD75" w14:textId="39F49098" w:rsidR="0078137B" w:rsidRDefault="0078137B" w:rsidP="002F6807">
      <w:r w:rsidRPr="00060204">
        <w:rPr>
          <w:b/>
          <w:bCs/>
        </w:rPr>
        <w:t>Q6.</w:t>
      </w:r>
      <w:r>
        <w:t xml:space="preserve"> How are fringe benefits</w:t>
      </w:r>
      <w:r w:rsidR="003656C9">
        <w:t xml:space="preserve"> and payroll taxes related to labor?</w:t>
      </w:r>
    </w:p>
    <w:p w14:paraId="765BE032" w14:textId="781192BE" w:rsidR="003656C9" w:rsidRDefault="003656C9" w:rsidP="002F6807">
      <w:r w:rsidRPr="00060204">
        <w:rPr>
          <w:b/>
          <w:bCs/>
        </w:rPr>
        <w:t>A6</w:t>
      </w:r>
      <w:r w:rsidR="00060204" w:rsidRPr="00060204">
        <w:rPr>
          <w:b/>
          <w:bCs/>
        </w:rPr>
        <w:t>.</w:t>
      </w:r>
      <w:r>
        <w:t xml:space="preserve"> </w:t>
      </w:r>
      <w:r w:rsidR="00753C4E">
        <w:t xml:space="preserve">Fringe would not be part of an individual’s salary </w:t>
      </w:r>
      <w:r w:rsidR="00AE6235">
        <w:t xml:space="preserve">or hourly rate </w:t>
      </w:r>
      <w:r w:rsidR="00753C4E">
        <w:t xml:space="preserve">when </w:t>
      </w:r>
      <w:r w:rsidR="00AE6235">
        <w:t xml:space="preserve">calculating the budget. </w:t>
      </w:r>
      <w:r>
        <w:t xml:space="preserve">See the FAQs for </w:t>
      </w:r>
      <w:r w:rsidRPr="00060204">
        <w:rPr>
          <w:u w:val="single"/>
        </w:rPr>
        <w:t>Fringe</w:t>
      </w:r>
      <w:r>
        <w:t>.</w:t>
      </w:r>
    </w:p>
    <w:p w14:paraId="43703DB3" w14:textId="77777777" w:rsidR="00C60E33" w:rsidRDefault="00C60E33" w:rsidP="002F6807"/>
    <w:p w14:paraId="2E290441" w14:textId="6A3FB288" w:rsidR="00C60E33" w:rsidRDefault="00227447" w:rsidP="002F6807">
      <w:pPr>
        <w:rPr>
          <w:rFonts w:eastAsia="Times New Roman" w:cstheme="minorHAnsi"/>
          <w:color w:val="242424"/>
          <w:shd w:val="clear" w:color="auto" w:fill="FFFFFF"/>
        </w:rPr>
      </w:pPr>
      <w:r w:rsidRPr="008F291B">
        <w:rPr>
          <w:rFonts w:eastAsia="Times New Roman" w:cstheme="minorHAnsi"/>
          <w:b/>
          <w:bCs/>
          <w:color w:val="242424"/>
          <w:shd w:val="clear" w:color="auto" w:fill="FFFFFF"/>
        </w:rPr>
        <w:t>Q</w:t>
      </w:r>
      <w:r w:rsidR="00AE6235" w:rsidRPr="008F291B">
        <w:rPr>
          <w:rFonts w:eastAsia="Times New Roman" w:cstheme="minorHAnsi"/>
          <w:b/>
          <w:bCs/>
          <w:color w:val="242424"/>
          <w:shd w:val="clear" w:color="auto" w:fill="FFFFFF"/>
        </w:rPr>
        <w:t>7.</w:t>
      </w:r>
      <w:r w:rsidR="00AE6235" w:rsidRPr="00227447">
        <w:rPr>
          <w:rFonts w:eastAsia="Times New Roman" w:cstheme="minorHAnsi"/>
          <w:color w:val="242424"/>
          <w:shd w:val="clear" w:color="auto" w:fill="FFFFFF"/>
        </w:rPr>
        <w:t xml:space="preserve"> </w:t>
      </w:r>
      <w:r>
        <w:rPr>
          <w:rFonts w:eastAsia="Times New Roman" w:cstheme="minorHAnsi"/>
          <w:color w:val="242424"/>
          <w:shd w:val="clear" w:color="auto" w:fill="FFFFFF"/>
        </w:rPr>
        <w:t>S</w:t>
      </w:r>
      <w:r w:rsidR="00753C4E" w:rsidRPr="00227447">
        <w:rPr>
          <w:rFonts w:eastAsia="Times New Roman" w:cstheme="minorHAnsi"/>
          <w:color w:val="242424"/>
          <w:shd w:val="clear" w:color="auto" w:fill="FFFFFF"/>
        </w:rPr>
        <w:t xml:space="preserve">hould </w:t>
      </w:r>
      <w:r>
        <w:rPr>
          <w:rFonts w:eastAsia="Times New Roman" w:cstheme="minorHAnsi"/>
          <w:color w:val="242424"/>
          <w:shd w:val="clear" w:color="auto" w:fill="FFFFFF"/>
        </w:rPr>
        <w:t xml:space="preserve">the PI </w:t>
      </w:r>
      <w:r w:rsidR="00753C4E" w:rsidRPr="00227447">
        <w:rPr>
          <w:rFonts w:eastAsia="Times New Roman" w:cstheme="minorHAnsi"/>
          <w:color w:val="242424"/>
          <w:shd w:val="clear" w:color="auto" w:fill="FFFFFF"/>
        </w:rPr>
        <w:t xml:space="preserve">have more time than other employees? </w:t>
      </w:r>
      <w:r>
        <w:rPr>
          <w:rFonts w:eastAsia="Times New Roman" w:cstheme="minorHAnsi"/>
          <w:color w:val="242424"/>
          <w:shd w:val="clear" w:color="auto" w:fill="FFFFFF"/>
        </w:rPr>
        <w:t xml:space="preserve">Can the PI </w:t>
      </w:r>
      <w:r w:rsidR="00753C4E" w:rsidRPr="00227447">
        <w:rPr>
          <w:rFonts w:eastAsia="Times New Roman" w:cstheme="minorHAnsi"/>
          <w:color w:val="242424"/>
          <w:shd w:val="clear" w:color="auto" w:fill="FFFFFF"/>
        </w:rPr>
        <w:t>be part</w:t>
      </w:r>
      <w:r w:rsidR="008F291B">
        <w:rPr>
          <w:rFonts w:eastAsia="Times New Roman" w:cstheme="minorHAnsi"/>
          <w:color w:val="242424"/>
          <w:shd w:val="clear" w:color="auto" w:fill="FFFFFF"/>
        </w:rPr>
        <w:t>-</w:t>
      </w:r>
      <w:r w:rsidR="00753C4E" w:rsidRPr="00227447">
        <w:rPr>
          <w:rFonts w:eastAsia="Times New Roman" w:cstheme="minorHAnsi"/>
          <w:color w:val="242424"/>
          <w:shd w:val="clear" w:color="auto" w:fill="FFFFFF"/>
        </w:rPr>
        <w:t>time but other employee can be full time</w:t>
      </w:r>
      <w:r>
        <w:rPr>
          <w:rFonts w:eastAsia="Times New Roman" w:cstheme="minorHAnsi"/>
          <w:color w:val="242424"/>
          <w:shd w:val="clear" w:color="auto" w:fill="FFFFFF"/>
        </w:rPr>
        <w:t>?</w:t>
      </w:r>
    </w:p>
    <w:p w14:paraId="1A094678" w14:textId="7B943E26" w:rsidR="00227447" w:rsidRDefault="00C528C9" w:rsidP="002F6807">
      <w:pPr>
        <w:rPr>
          <w:rFonts w:eastAsia="Times New Roman" w:cstheme="minorHAnsi"/>
          <w:color w:val="242424"/>
          <w:shd w:val="clear" w:color="auto" w:fill="FFFFFF"/>
        </w:rPr>
      </w:pPr>
      <w:r w:rsidRPr="008F291B">
        <w:rPr>
          <w:rFonts w:eastAsia="Times New Roman" w:cstheme="minorHAnsi"/>
          <w:b/>
          <w:bCs/>
          <w:color w:val="242424"/>
          <w:shd w:val="clear" w:color="auto" w:fill="FFFFFF"/>
        </w:rPr>
        <w:t>A7.</w:t>
      </w:r>
      <w:r>
        <w:rPr>
          <w:rFonts w:eastAsia="Times New Roman" w:cstheme="minorHAnsi"/>
          <w:color w:val="242424"/>
          <w:shd w:val="clear" w:color="auto" w:fill="FFFFFF"/>
        </w:rPr>
        <w:t xml:space="preserve"> As long as the PI is otherwise employed half time by the small business, their only requirement is </w:t>
      </w:r>
      <w:r w:rsidR="000B7825">
        <w:rPr>
          <w:rFonts w:eastAsia="Times New Roman" w:cstheme="minorHAnsi"/>
          <w:color w:val="242424"/>
          <w:shd w:val="clear" w:color="auto" w:fill="FFFFFF"/>
        </w:rPr>
        <w:t>performing</w:t>
      </w:r>
      <w:r>
        <w:rPr>
          <w:rFonts w:eastAsia="Times New Roman" w:cstheme="minorHAnsi"/>
          <w:color w:val="242424"/>
          <w:shd w:val="clear" w:color="auto" w:fill="FFFFFF"/>
        </w:rPr>
        <w:t xml:space="preserve"> a minimum of 156 hours</w:t>
      </w:r>
      <w:r w:rsidR="000B7825">
        <w:rPr>
          <w:rFonts w:eastAsia="Times New Roman" w:cstheme="minorHAnsi"/>
          <w:color w:val="242424"/>
          <w:shd w:val="clear" w:color="auto" w:fill="FFFFFF"/>
        </w:rPr>
        <w:t xml:space="preserve"> on the project. </w:t>
      </w:r>
      <w:r w:rsidR="0006628F">
        <w:rPr>
          <w:rFonts w:eastAsia="Times New Roman" w:cstheme="minorHAnsi"/>
          <w:color w:val="242424"/>
          <w:shd w:val="clear" w:color="auto" w:fill="FFFFFF"/>
        </w:rPr>
        <w:t>It’s not unusual for</w:t>
      </w:r>
      <w:r w:rsidR="000B7825">
        <w:rPr>
          <w:rFonts w:eastAsia="Times New Roman" w:cstheme="minorHAnsi"/>
          <w:color w:val="242424"/>
          <w:shd w:val="clear" w:color="auto" w:fill="FFFFFF"/>
        </w:rPr>
        <w:t xml:space="preserve"> PI </w:t>
      </w:r>
      <w:r w:rsidR="0006628F">
        <w:rPr>
          <w:rFonts w:eastAsia="Times New Roman" w:cstheme="minorHAnsi"/>
          <w:color w:val="242424"/>
          <w:shd w:val="clear" w:color="auto" w:fill="FFFFFF"/>
        </w:rPr>
        <w:t>hours to be substantially less than others.</w:t>
      </w:r>
      <w:r w:rsidR="000B7825">
        <w:rPr>
          <w:rFonts w:eastAsia="Times New Roman" w:cstheme="minorHAnsi"/>
          <w:color w:val="242424"/>
          <w:shd w:val="clear" w:color="auto" w:fill="FFFFFF"/>
        </w:rPr>
        <w:t xml:space="preserve"> </w:t>
      </w:r>
    </w:p>
    <w:p w14:paraId="283192B6" w14:textId="77777777" w:rsidR="00C60E33" w:rsidRDefault="00C60E33" w:rsidP="002F6807">
      <w:pPr>
        <w:rPr>
          <w:rFonts w:eastAsia="Times New Roman" w:cstheme="minorHAnsi"/>
          <w:color w:val="242424"/>
          <w:shd w:val="clear" w:color="auto" w:fill="FFFFFF"/>
        </w:rPr>
      </w:pPr>
    </w:p>
    <w:p w14:paraId="4D5884A9" w14:textId="5D6A3B7A" w:rsidR="00C60E33" w:rsidRDefault="007D0BEE" w:rsidP="007D0BEE">
      <w:pPr>
        <w:rPr>
          <w:rFonts w:eastAsia="Times New Roman" w:cstheme="minorHAnsi"/>
          <w:color w:val="242424"/>
          <w:shd w:val="clear" w:color="auto" w:fill="FFFFFF"/>
        </w:rPr>
      </w:pPr>
      <w:r w:rsidRPr="008F291B">
        <w:rPr>
          <w:rFonts w:eastAsia="Times New Roman" w:cstheme="minorHAnsi"/>
          <w:b/>
          <w:bCs/>
          <w:color w:val="242424"/>
          <w:shd w:val="clear" w:color="auto" w:fill="FFFFFF"/>
        </w:rPr>
        <w:t>Q</w:t>
      </w:r>
      <w:r>
        <w:rPr>
          <w:rFonts w:eastAsia="Times New Roman" w:cstheme="minorHAnsi"/>
          <w:b/>
          <w:bCs/>
          <w:color w:val="242424"/>
          <w:shd w:val="clear" w:color="auto" w:fill="FFFFFF"/>
        </w:rPr>
        <w:t>8</w:t>
      </w:r>
      <w:r w:rsidRPr="008F291B">
        <w:rPr>
          <w:rFonts w:eastAsia="Times New Roman" w:cstheme="minorHAnsi"/>
          <w:b/>
          <w:bCs/>
          <w:color w:val="242424"/>
          <w:shd w:val="clear" w:color="auto" w:fill="FFFFFF"/>
        </w:rPr>
        <w:t>.</w:t>
      </w:r>
      <w:r w:rsidRPr="00227447">
        <w:rPr>
          <w:rFonts w:eastAsia="Times New Roman" w:cstheme="minorHAnsi"/>
          <w:color w:val="242424"/>
          <w:shd w:val="clear" w:color="auto" w:fill="FFFFFF"/>
        </w:rPr>
        <w:t xml:space="preserve"> </w:t>
      </w:r>
      <w:r w:rsidR="00067E80">
        <w:rPr>
          <w:rFonts w:eastAsia="Times New Roman" w:cstheme="minorHAnsi"/>
          <w:color w:val="242424"/>
          <w:shd w:val="clear" w:color="auto" w:fill="FFFFFF"/>
        </w:rPr>
        <w:t xml:space="preserve">When it comes to scoring Workshare to meet the SBIR and STTR requirements, </w:t>
      </w:r>
      <w:r w:rsidR="00CF767A">
        <w:rPr>
          <w:rFonts w:eastAsia="Times New Roman" w:cstheme="minorHAnsi"/>
          <w:color w:val="242424"/>
          <w:shd w:val="clear" w:color="auto" w:fill="FFFFFF"/>
        </w:rPr>
        <w:t>how are these elements of labor scored</w:t>
      </w:r>
      <w:r>
        <w:rPr>
          <w:rFonts w:eastAsia="Times New Roman" w:cstheme="minorHAnsi"/>
          <w:color w:val="242424"/>
          <w:shd w:val="clear" w:color="auto" w:fill="FFFFFF"/>
        </w:rPr>
        <w:t>?</w:t>
      </w:r>
    </w:p>
    <w:p w14:paraId="0121311C" w14:textId="42B3B538" w:rsidR="007D0BEE" w:rsidRDefault="007D0BEE" w:rsidP="007D0BEE">
      <w:pPr>
        <w:rPr>
          <w:rFonts w:eastAsia="Times New Roman" w:cstheme="minorHAnsi"/>
          <w:color w:val="242424"/>
          <w:shd w:val="clear" w:color="auto" w:fill="FFFFFF"/>
        </w:rPr>
      </w:pPr>
      <w:r w:rsidRPr="008F291B">
        <w:rPr>
          <w:rFonts w:eastAsia="Times New Roman" w:cstheme="minorHAnsi"/>
          <w:b/>
          <w:bCs/>
          <w:color w:val="242424"/>
          <w:shd w:val="clear" w:color="auto" w:fill="FFFFFF"/>
        </w:rPr>
        <w:t>A</w:t>
      </w:r>
      <w:r w:rsidR="00CF767A">
        <w:rPr>
          <w:rFonts w:eastAsia="Times New Roman" w:cstheme="minorHAnsi"/>
          <w:b/>
          <w:bCs/>
          <w:color w:val="242424"/>
          <w:shd w:val="clear" w:color="auto" w:fill="FFFFFF"/>
        </w:rPr>
        <w:t>8</w:t>
      </w:r>
      <w:r w:rsidRPr="008F291B">
        <w:rPr>
          <w:rFonts w:eastAsia="Times New Roman" w:cstheme="minorHAnsi"/>
          <w:b/>
          <w:bCs/>
          <w:color w:val="242424"/>
          <w:shd w:val="clear" w:color="auto" w:fill="FFFFFF"/>
        </w:rPr>
        <w:t>.</w:t>
      </w:r>
      <w:r>
        <w:rPr>
          <w:rFonts w:eastAsia="Times New Roman" w:cstheme="minorHAnsi"/>
          <w:color w:val="242424"/>
          <w:shd w:val="clear" w:color="auto" w:fill="FFFFFF"/>
        </w:rPr>
        <w:t xml:space="preserve"> </w:t>
      </w:r>
      <w:r w:rsidR="00D579CE">
        <w:rPr>
          <w:rFonts w:eastAsia="Times New Roman" w:cstheme="minorHAnsi"/>
          <w:color w:val="242424"/>
          <w:shd w:val="clear" w:color="auto" w:fill="FFFFFF"/>
        </w:rPr>
        <w:t xml:space="preserve">An SBIR small business must perform </w:t>
      </w:r>
      <w:r w:rsidR="00B919BC">
        <w:rPr>
          <w:rFonts w:eastAsia="Times New Roman" w:cstheme="minorHAnsi"/>
          <w:color w:val="242424"/>
          <w:shd w:val="clear" w:color="auto" w:fill="FFFFFF"/>
        </w:rPr>
        <w:t xml:space="preserve">at least </w:t>
      </w:r>
      <w:r w:rsidR="00D579CE">
        <w:rPr>
          <w:rFonts w:eastAsia="Times New Roman" w:cstheme="minorHAnsi"/>
          <w:color w:val="242424"/>
          <w:shd w:val="clear" w:color="auto" w:fill="FFFFFF"/>
        </w:rPr>
        <w:t xml:space="preserve">67% of the work. </w:t>
      </w:r>
      <w:r w:rsidR="00B919BC">
        <w:rPr>
          <w:rFonts w:eastAsia="Times New Roman" w:cstheme="minorHAnsi"/>
          <w:color w:val="242424"/>
          <w:shd w:val="clear" w:color="auto" w:fill="FFFFFF"/>
        </w:rPr>
        <w:t xml:space="preserve">An STTR small business must perform a minimum of </w:t>
      </w:r>
      <w:r w:rsidR="00D56A98">
        <w:rPr>
          <w:rFonts w:eastAsia="Times New Roman" w:cstheme="minorHAnsi"/>
          <w:color w:val="242424"/>
          <w:shd w:val="clear" w:color="auto" w:fill="FFFFFF"/>
        </w:rPr>
        <w:t>4</w:t>
      </w:r>
      <w:r w:rsidR="002912A1">
        <w:rPr>
          <w:rFonts w:eastAsia="Times New Roman" w:cstheme="minorHAnsi"/>
          <w:color w:val="242424"/>
          <w:shd w:val="clear" w:color="auto" w:fill="FFFFFF"/>
        </w:rPr>
        <w:t xml:space="preserve">0% or the work. </w:t>
      </w:r>
      <w:r w:rsidR="00E82B4E">
        <w:rPr>
          <w:rFonts w:eastAsia="Times New Roman" w:cstheme="minorHAnsi"/>
          <w:color w:val="242424"/>
          <w:shd w:val="clear" w:color="auto" w:fill="FFFFFF"/>
        </w:rPr>
        <w:t>It</w:t>
      </w:r>
      <w:r w:rsidR="00D47622">
        <w:rPr>
          <w:rFonts w:eastAsia="Times New Roman" w:cstheme="minorHAnsi"/>
          <w:color w:val="242424"/>
          <w:shd w:val="clear" w:color="auto" w:fill="FFFFFF"/>
        </w:rPr>
        <w:t>’</w:t>
      </w:r>
      <w:r w:rsidR="00E82B4E">
        <w:rPr>
          <w:rFonts w:eastAsia="Times New Roman" w:cstheme="minorHAnsi"/>
          <w:color w:val="242424"/>
          <w:shd w:val="clear" w:color="auto" w:fill="FFFFFF"/>
        </w:rPr>
        <w:t>s very important to keep this in mind when developing a budget</w:t>
      </w:r>
      <w:r w:rsidR="00020273">
        <w:rPr>
          <w:rFonts w:eastAsia="Times New Roman" w:cstheme="minorHAnsi"/>
          <w:color w:val="242424"/>
          <w:shd w:val="clear" w:color="auto" w:fill="FFFFFF"/>
        </w:rPr>
        <w:t>, especially with labor:</w:t>
      </w:r>
    </w:p>
    <w:p w14:paraId="608942AD" w14:textId="0573011A" w:rsidR="00020273" w:rsidRPr="00E512CD" w:rsidRDefault="00B92037" w:rsidP="00E512CD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eastAsia="Times New Roman" w:cstheme="minorHAnsi"/>
          <w:color w:val="242424"/>
          <w:shd w:val="clear" w:color="auto" w:fill="FFFFFF"/>
        </w:rPr>
        <w:t xml:space="preserve">Company </w:t>
      </w:r>
      <w:r w:rsidR="00020273" w:rsidRPr="00E512CD">
        <w:rPr>
          <w:rFonts w:eastAsia="Times New Roman" w:cstheme="minorHAnsi"/>
          <w:color w:val="242424"/>
          <w:shd w:val="clear" w:color="auto" w:fill="FFFFFF"/>
        </w:rPr>
        <w:t xml:space="preserve">W2 and LLC </w:t>
      </w:r>
      <w:r w:rsidR="00E512CD" w:rsidRPr="00E512CD">
        <w:rPr>
          <w:rFonts w:eastAsia="Times New Roman" w:cstheme="minorHAnsi"/>
          <w:color w:val="242424"/>
          <w:shd w:val="clear" w:color="auto" w:fill="FFFFFF"/>
        </w:rPr>
        <w:t xml:space="preserve">member labor – </w:t>
      </w:r>
      <w:r w:rsidR="007E1D3D">
        <w:rPr>
          <w:rFonts w:eastAsia="Times New Roman" w:cstheme="minorHAnsi"/>
          <w:color w:val="242424"/>
          <w:shd w:val="clear" w:color="auto" w:fill="FFFFFF"/>
        </w:rPr>
        <w:t>Contributes to s</w:t>
      </w:r>
      <w:r w:rsidR="00E512CD" w:rsidRPr="00E512CD">
        <w:rPr>
          <w:rFonts w:eastAsia="Times New Roman" w:cstheme="minorHAnsi"/>
          <w:color w:val="242424"/>
          <w:shd w:val="clear" w:color="auto" w:fill="FFFFFF"/>
        </w:rPr>
        <w:t>mall business workshare</w:t>
      </w:r>
    </w:p>
    <w:p w14:paraId="315CDD46" w14:textId="14F2A57B" w:rsidR="00E512CD" w:rsidRDefault="00B92037" w:rsidP="00E512CD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Consultants, </w:t>
      </w:r>
      <w:r w:rsidR="00D47622">
        <w:rPr>
          <w:rFonts w:cstheme="minorHAnsi"/>
        </w:rPr>
        <w:t xml:space="preserve">Subawards, </w:t>
      </w:r>
      <w:r>
        <w:rPr>
          <w:rFonts w:cstheme="minorHAnsi"/>
        </w:rPr>
        <w:t>1099s – Considered 3</w:t>
      </w:r>
      <w:r w:rsidRPr="00B92037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party</w:t>
      </w:r>
      <w:r w:rsidR="00D47622">
        <w:rPr>
          <w:rFonts w:cstheme="minorHAnsi"/>
        </w:rPr>
        <w:t xml:space="preserve"> contributors</w:t>
      </w:r>
      <w:r w:rsidR="000F00BE">
        <w:rPr>
          <w:rFonts w:cstheme="minorHAnsi"/>
        </w:rPr>
        <w:t>, non-small business workshare</w:t>
      </w:r>
    </w:p>
    <w:p w14:paraId="015F8156" w14:textId="77777777" w:rsidR="00C60E33" w:rsidRDefault="00C60E33" w:rsidP="00C60E33">
      <w:pPr>
        <w:pStyle w:val="ListParagraph"/>
        <w:ind w:left="1080"/>
        <w:rPr>
          <w:rFonts w:cstheme="minorHAnsi"/>
        </w:rPr>
      </w:pPr>
    </w:p>
    <w:p w14:paraId="501D4C91" w14:textId="314B50C4" w:rsidR="00D2076B" w:rsidRPr="00D2076B" w:rsidRDefault="00D2076B" w:rsidP="00D2076B">
      <w:pPr>
        <w:rPr>
          <w:rFonts w:eastAsia="Times New Roman" w:cstheme="minorHAnsi"/>
          <w:color w:val="242424"/>
          <w:shd w:val="clear" w:color="auto" w:fill="FFFFFF"/>
        </w:rPr>
      </w:pPr>
      <w:r w:rsidRPr="00D2076B">
        <w:rPr>
          <w:rFonts w:eastAsia="Times New Roman" w:cstheme="minorHAnsi"/>
          <w:b/>
          <w:bCs/>
          <w:color w:val="242424"/>
          <w:shd w:val="clear" w:color="auto" w:fill="FFFFFF"/>
        </w:rPr>
        <w:t>Q</w:t>
      </w:r>
      <w:r>
        <w:rPr>
          <w:rFonts w:eastAsia="Times New Roman" w:cstheme="minorHAnsi"/>
          <w:b/>
          <w:bCs/>
          <w:color w:val="242424"/>
          <w:shd w:val="clear" w:color="auto" w:fill="FFFFFF"/>
        </w:rPr>
        <w:t>9</w:t>
      </w:r>
      <w:r w:rsidRPr="00D2076B">
        <w:rPr>
          <w:rFonts w:eastAsia="Times New Roman" w:cstheme="minorHAnsi"/>
          <w:b/>
          <w:bCs/>
          <w:color w:val="242424"/>
          <w:shd w:val="clear" w:color="auto" w:fill="FFFFFF"/>
        </w:rPr>
        <w:t>.</w:t>
      </w:r>
      <w:r w:rsidRPr="00D2076B">
        <w:rPr>
          <w:rFonts w:eastAsia="Times New Roman" w:cstheme="minorHAnsi"/>
          <w:color w:val="242424"/>
          <w:shd w:val="clear" w:color="auto" w:fill="FFFFFF"/>
        </w:rPr>
        <w:t xml:space="preserve"> </w:t>
      </w:r>
      <w:r>
        <w:rPr>
          <w:rFonts w:eastAsia="Times New Roman" w:cstheme="minorHAnsi"/>
          <w:color w:val="242424"/>
          <w:shd w:val="clear" w:color="auto" w:fill="FFFFFF"/>
        </w:rPr>
        <w:t xml:space="preserve">Can </w:t>
      </w:r>
      <w:r w:rsidR="003176B9">
        <w:rPr>
          <w:rFonts w:eastAsia="Times New Roman" w:cstheme="minorHAnsi"/>
          <w:color w:val="242424"/>
          <w:shd w:val="clear" w:color="auto" w:fill="FFFFFF"/>
        </w:rPr>
        <w:t xml:space="preserve">labor and therefore </w:t>
      </w:r>
      <w:r>
        <w:rPr>
          <w:rFonts w:eastAsia="Times New Roman" w:cstheme="minorHAnsi"/>
          <w:color w:val="242424"/>
          <w:shd w:val="clear" w:color="auto" w:fill="FFFFFF"/>
        </w:rPr>
        <w:t>compensation be in the form of company equity</w:t>
      </w:r>
      <w:r w:rsidRPr="00D2076B">
        <w:rPr>
          <w:rFonts w:eastAsia="Times New Roman" w:cstheme="minorHAnsi"/>
          <w:color w:val="242424"/>
          <w:shd w:val="clear" w:color="auto" w:fill="FFFFFF"/>
        </w:rPr>
        <w:t>?</w:t>
      </w:r>
    </w:p>
    <w:p w14:paraId="71590BCD" w14:textId="558E2C08" w:rsidR="00D2076B" w:rsidRDefault="00D2076B" w:rsidP="00D2076B">
      <w:pPr>
        <w:rPr>
          <w:rFonts w:eastAsia="Times New Roman" w:cstheme="minorHAnsi"/>
          <w:color w:val="242424"/>
          <w:shd w:val="clear" w:color="auto" w:fill="FFFFFF"/>
        </w:rPr>
      </w:pPr>
      <w:r w:rsidRPr="00D2076B">
        <w:rPr>
          <w:rFonts w:eastAsia="Times New Roman" w:cstheme="minorHAnsi"/>
          <w:b/>
          <w:bCs/>
          <w:color w:val="242424"/>
          <w:shd w:val="clear" w:color="auto" w:fill="FFFFFF"/>
        </w:rPr>
        <w:t>A</w:t>
      </w:r>
      <w:r w:rsidR="003176B9">
        <w:rPr>
          <w:rFonts w:eastAsia="Times New Roman" w:cstheme="minorHAnsi"/>
          <w:b/>
          <w:bCs/>
          <w:color w:val="242424"/>
          <w:shd w:val="clear" w:color="auto" w:fill="FFFFFF"/>
        </w:rPr>
        <w:t>9</w:t>
      </w:r>
      <w:r w:rsidRPr="00D2076B">
        <w:rPr>
          <w:rFonts w:eastAsia="Times New Roman" w:cstheme="minorHAnsi"/>
          <w:b/>
          <w:bCs/>
          <w:color w:val="242424"/>
          <w:shd w:val="clear" w:color="auto" w:fill="FFFFFF"/>
        </w:rPr>
        <w:t>.</w:t>
      </w:r>
      <w:r w:rsidRPr="00D2076B">
        <w:rPr>
          <w:rFonts w:eastAsia="Times New Roman" w:cstheme="minorHAnsi"/>
          <w:color w:val="242424"/>
          <w:shd w:val="clear" w:color="auto" w:fill="FFFFFF"/>
        </w:rPr>
        <w:t xml:space="preserve"> </w:t>
      </w:r>
      <w:r w:rsidR="00464067">
        <w:rPr>
          <w:rFonts w:eastAsia="Times New Roman" w:cstheme="minorHAnsi"/>
          <w:color w:val="242424"/>
          <w:shd w:val="clear" w:color="auto" w:fill="FFFFFF"/>
        </w:rPr>
        <w:t xml:space="preserve">Government grants </w:t>
      </w:r>
      <w:r w:rsidR="00D460D8">
        <w:rPr>
          <w:rFonts w:eastAsia="Times New Roman" w:cstheme="minorHAnsi"/>
          <w:color w:val="242424"/>
          <w:shd w:val="clear" w:color="auto" w:fill="FFFFFF"/>
        </w:rPr>
        <w:t>presume company employees are either compensated via normal W2 payroll or</w:t>
      </w:r>
      <w:r w:rsidR="00DC6E8A">
        <w:rPr>
          <w:rFonts w:eastAsia="Times New Roman" w:cstheme="minorHAnsi"/>
          <w:color w:val="242424"/>
          <w:shd w:val="clear" w:color="auto" w:fill="FFFFFF"/>
        </w:rPr>
        <w:t xml:space="preserve"> guaranteed payments. The cost allowability rules surrounding </w:t>
      </w:r>
      <w:r w:rsidR="00E8606D">
        <w:rPr>
          <w:rFonts w:eastAsia="Times New Roman" w:cstheme="minorHAnsi"/>
          <w:color w:val="242424"/>
          <w:shd w:val="clear" w:color="auto" w:fill="FFFFFF"/>
        </w:rPr>
        <w:t>equity as compensation are so complex as to make this approach</w:t>
      </w:r>
      <w:r w:rsidR="00FB18A4">
        <w:rPr>
          <w:rFonts w:eastAsia="Times New Roman" w:cstheme="minorHAnsi"/>
          <w:color w:val="242424"/>
          <w:shd w:val="clear" w:color="auto" w:fill="FFFFFF"/>
        </w:rPr>
        <w:t xml:space="preserve"> impractical.</w:t>
      </w:r>
    </w:p>
    <w:p w14:paraId="1A4CA4B5" w14:textId="77777777" w:rsidR="007238F5" w:rsidRDefault="007238F5" w:rsidP="00D2076B">
      <w:pPr>
        <w:rPr>
          <w:rFonts w:eastAsia="Times New Roman" w:cstheme="minorHAnsi"/>
          <w:color w:val="242424"/>
          <w:shd w:val="clear" w:color="auto" w:fill="FFFFFF"/>
        </w:rPr>
      </w:pPr>
    </w:p>
    <w:p w14:paraId="6FAF10AA" w14:textId="092469B4" w:rsidR="007238F5" w:rsidRPr="00D2076B" w:rsidRDefault="007238F5" w:rsidP="007238F5">
      <w:pPr>
        <w:rPr>
          <w:rFonts w:eastAsia="Times New Roman" w:cstheme="minorHAnsi"/>
          <w:color w:val="242424"/>
          <w:shd w:val="clear" w:color="auto" w:fill="FFFFFF"/>
        </w:rPr>
      </w:pPr>
      <w:r w:rsidRPr="00D2076B">
        <w:rPr>
          <w:rFonts w:eastAsia="Times New Roman" w:cstheme="minorHAnsi"/>
          <w:b/>
          <w:bCs/>
          <w:color w:val="242424"/>
          <w:shd w:val="clear" w:color="auto" w:fill="FFFFFF"/>
        </w:rPr>
        <w:t>Q</w:t>
      </w:r>
      <w:r>
        <w:rPr>
          <w:rFonts w:eastAsia="Times New Roman" w:cstheme="minorHAnsi"/>
          <w:b/>
          <w:bCs/>
          <w:color w:val="242424"/>
          <w:shd w:val="clear" w:color="auto" w:fill="FFFFFF"/>
        </w:rPr>
        <w:t>10</w:t>
      </w:r>
      <w:r w:rsidRPr="00D2076B">
        <w:rPr>
          <w:rFonts w:eastAsia="Times New Roman" w:cstheme="minorHAnsi"/>
          <w:b/>
          <w:bCs/>
          <w:color w:val="242424"/>
          <w:shd w:val="clear" w:color="auto" w:fill="FFFFFF"/>
        </w:rPr>
        <w:t>.</w:t>
      </w:r>
      <w:r w:rsidRPr="00D2076B">
        <w:rPr>
          <w:rFonts w:eastAsia="Times New Roman" w:cstheme="minorHAnsi"/>
          <w:color w:val="242424"/>
          <w:shd w:val="clear" w:color="auto" w:fill="FFFFFF"/>
        </w:rPr>
        <w:t xml:space="preserve"> </w:t>
      </w:r>
      <w:r w:rsidR="00C6249D">
        <w:rPr>
          <w:rFonts w:eastAsia="Times New Roman" w:cstheme="minorHAnsi"/>
          <w:color w:val="242424"/>
          <w:shd w:val="clear" w:color="auto" w:fill="FFFFFF"/>
        </w:rPr>
        <w:t>What are the requirements for foreign nationals working on an SBIR/STTR project</w:t>
      </w:r>
      <w:r w:rsidRPr="00D2076B">
        <w:rPr>
          <w:rFonts w:eastAsia="Times New Roman" w:cstheme="minorHAnsi"/>
          <w:color w:val="242424"/>
          <w:shd w:val="clear" w:color="auto" w:fill="FFFFFF"/>
        </w:rPr>
        <w:t>?</w:t>
      </w:r>
    </w:p>
    <w:p w14:paraId="7D7E41CB" w14:textId="063ADEA6" w:rsidR="007238F5" w:rsidRPr="00092BE5" w:rsidRDefault="007238F5" w:rsidP="00092B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2076B">
        <w:rPr>
          <w:rFonts w:eastAsia="Times New Roman" w:cstheme="minorHAnsi"/>
          <w:b/>
          <w:bCs/>
          <w:color w:val="242424"/>
          <w:shd w:val="clear" w:color="auto" w:fill="FFFFFF"/>
        </w:rPr>
        <w:t>A</w:t>
      </w:r>
      <w:r>
        <w:rPr>
          <w:rFonts w:eastAsia="Times New Roman" w:cstheme="minorHAnsi"/>
          <w:b/>
          <w:bCs/>
          <w:color w:val="242424"/>
          <w:shd w:val="clear" w:color="auto" w:fill="FFFFFF"/>
        </w:rPr>
        <w:t>10</w:t>
      </w:r>
      <w:r w:rsidRPr="00D2076B">
        <w:rPr>
          <w:rFonts w:eastAsia="Times New Roman" w:cstheme="minorHAnsi"/>
          <w:b/>
          <w:bCs/>
          <w:color w:val="242424"/>
          <w:shd w:val="clear" w:color="auto" w:fill="FFFFFF"/>
        </w:rPr>
        <w:t>.</w:t>
      </w:r>
      <w:r w:rsidRPr="00D2076B">
        <w:rPr>
          <w:rFonts w:eastAsia="Times New Roman" w:cstheme="minorHAnsi"/>
          <w:color w:val="242424"/>
          <w:shd w:val="clear" w:color="auto" w:fill="FFFFFF"/>
        </w:rPr>
        <w:t xml:space="preserve"> </w:t>
      </w:r>
      <w:r w:rsidR="00B653B3">
        <w:rPr>
          <w:rFonts w:eastAsia="Times New Roman" w:cstheme="minorHAnsi"/>
          <w:color w:val="242424"/>
          <w:shd w:val="clear" w:color="auto" w:fill="FFFFFF"/>
        </w:rPr>
        <w:t>According to the FOA,</w:t>
      </w:r>
      <w:r w:rsidR="00092BE5">
        <w:rPr>
          <w:rFonts w:eastAsia="Times New Roman" w:cstheme="minorHAnsi"/>
          <w:color w:val="242424"/>
          <w:shd w:val="clear" w:color="auto" w:fill="FFFFFF"/>
        </w:rPr>
        <w:t xml:space="preserve"> </w:t>
      </w:r>
      <w:r w:rsidR="00092BE5" w:rsidRPr="00092BE5">
        <w:rPr>
          <w:rFonts w:eastAsia="Times New Roman" w:cstheme="minorHAnsi"/>
          <w:color w:val="242424"/>
          <w:shd w:val="clear" w:color="auto" w:fill="FFFFFF"/>
        </w:rPr>
        <w:t>“</w:t>
      </w:r>
      <w:r w:rsidR="00092BE5" w:rsidRPr="00092BE5">
        <w:rPr>
          <w:rFonts w:cstheme="minorHAnsi"/>
        </w:rPr>
        <w:t xml:space="preserve">Non-U.S. citizens are eligible to perform work on SBIR/STTR projects provided they are legally empowered to work in the U.S. at the time that an award is made and throughout the duration of the project. That is, a foreign national working on an SBIR/STTR project must </w:t>
      </w:r>
      <w:r w:rsidR="00092BE5" w:rsidRPr="00092BE5">
        <w:rPr>
          <w:rFonts w:cstheme="minorHAnsi"/>
        </w:rPr>
        <w:lastRenderedPageBreak/>
        <w:t>NOT be an illegal alien and must be an immigrant alien or a foreign national visiting the U.S. on an approved visa.”</w:t>
      </w:r>
    </w:p>
    <w:p w14:paraId="0B3FEDA4" w14:textId="77777777" w:rsidR="007238F5" w:rsidRDefault="007238F5" w:rsidP="007238F5">
      <w:pPr>
        <w:rPr>
          <w:rFonts w:eastAsia="Times New Roman" w:cstheme="minorHAnsi"/>
          <w:color w:val="242424"/>
          <w:shd w:val="clear" w:color="auto" w:fill="FFFFFF"/>
        </w:rPr>
      </w:pPr>
    </w:p>
    <w:p w14:paraId="380469C0" w14:textId="49C8F065" w:rsidR="007238F5" w:rsidRPr="00D2076B" w:rsidRDefault="007238F5" w:rsidP="007238F5">
      <w:pPr>
        <w:rPr>
          <w:rFonts w:eastAsia="Times New Roman" w:cstheme="minorHAnsi"/>
          <w:color w:val="242424"/>
          <w:shd w:val="clear" w:color="auto" w:fill="FFFFFF"/>
        </w:rPr>
      </w:pPr>
      <w:r w:rsidRPr="00D2076B">
        <w:rPr>
          <w:rFonts w:eastAsia="Times New Roman" w:cstheme="minorHAnsi"/>
          <w:b/>
          <w:bCs/>
          <w:color w:val="242424"/>
          <w:shd w:val="clear" w:color="auto" w:fill="FFFFFF"/>
        </w:rPr>
        <w:t>Q</w:t>
      </w:r>
      <w:r>
        <w:rPr>
          <w:rFonts w:eastAsia="Times New Roman" w:cstheme="minorHAnsi"/>
          <w:b/>
          <w:bCs/>
          <w:color w:val="242424"/>
          <w:shd w:val="clear" w:color="auto" w:fill="FFFFFF"/>
        </w:rPr>
        <w:t>11</w:t>
      </w:r>
      <w:r w:rsidRPr="00D2076B">
        <w:rPr>
          <w:rFonts w:eastAsia="Times New Roman" w:cstheme="minorHAnsi"/>
          <w:b/>
          <w:bCs/>
          <w:color w:val="242424"/>
          <w:shd w:val="clear" w:color="auto" w:fill="FFFFFF"/>
        </w:rPr>
        <w:t>.</w:t>
      </w:r>
      <w:r w:rsidRPr="00D2076B">
        <w:rPr>
          <w:rFonts w:eastAsia="Times New Roman" w:cstheme="minorHAnsi"/>
          <w:color w:val="242424"/>
          <w:shd w:val="clear" w:color="auto" w:fill="FFFFFF"/>
        </w:rPr>
        <w:t xml:space="preserve"> </w:t>
      </w:r>
      <w:r>
        <w:rPr>
          <w:rFonts w:eastAsia="Times New Roman" w:cstheme="minorHAnsi"/>
          <w:color w:val="242424"/>
          <w:shd w:val="clear" w:color="auto" w:fill="FFFFFF"/>
        </w:rPr>
        <w:t xml:space="preserve">Can </w:t>
      </w:r>
      <w:r w:rsidR="008354AE">
        <w:rPr>
          <w:rFonts w:eastAsia="Times New Roman" w:cstheme="minorHAnsi"/>
          <w:color w:val="242424"/>
          <w:shd w:val="clear" w:color="auto" w:fill="FFFFFF"/>
        </w:rPr>
        <w:t xml:space="preserve">eligible </w:t>
      </w:r>
      <w:r>
        <w:rPr>
          <w:rFonts w:eastAsia="Times New Roman" w:cstheme="minorHAnsi"/>
          <w:color w:val="242424"/>
          <w:shd w:val="clear" w:color="auto" w:fill="FFFFFF"/>
        </w:rPr>
        <w:t>personnel work from overseas</w:t>
      </w:r>
      <w:r w:rsidRPr="00D2076B">
        <w:rPr>
          <w:rFonts w:eastAsia="Times New Roman" w:cstheme="minorHAnsi"/>
          <w:color w:val="242424"/>
          <w:shd w:val="clear" w:color="auto" w:fill="FFFFFF"/>
        </w:rPr>
        <w:t>?</w:t>
      </w:r>
    </w:p>
    <w:p w14:paraId="5C5EB2F6" w14:textId="18DCC9ED" w:rsidR="007238F5" w:rsidRDefault="007238F5" w:rsidP="007238F5">
      <w:pPr>
        <w:rPr>
          <w:rFonts w:eastAsia="Times New Roman" w:cstheme="minorHAnsi"/>
          <w:color w:val="242424"/>
          <w:shd w:val="clear" w:color="auto" w:fill="FFFFFF"/>
        </w:rPr>
      </w:pPr>
      <w:r w:rsidRPr="00D2076B">
        <w:rPr>
          <w:rFonts w:eastAsia="Times New Roman" w:cstheme="minorHAnsi"/>
          <w:b/>
          <w:bCs/>
          <w:color w:val="242424"/>
          <w:shd w:val="clear" w:color="auto" w:fill="FFFFFF"/>
        </w:rPr>
        <w:t>A</w:t>
      </w:r>
      <w:r>
        <w:rPr>
          <w:rFonts w:eastAsia="Times New Roman" w:cstheme="minorHAnsi"/>
          <w:b/>
          <w:bCs/>
          <w:color w:val="242424"/>
          <w:shd w:val="clear" w:color="auto" w:fill="FFFFFF"/>
        </w:rPr>
        <w:t>11</w:t>
      </w:r>
      <w:r w:rsidRPr="00D2076B">
        <w:rPr>
          <w:rFonts w:eastAsia="Times New Roman" w:cstheme="minorHAnsi"/>
          <w:b/>
          <w:bCs/>
          <w:color w:val="242424"/>
          <w:shd w:val="clear" w:color="auto" w:fill="FFFFFF"/>
        </w:rPr>
        <w:t>.</w:t>
      </w:r>
      <w:r w:rsidRPr="00D2076B">
        <w:rPr>
          <w:rFonts w:eastAsia="Times New Roman" w:cstheme="minorHAnsi"/>
          <w:color w:val="242424"/>
          <w:shd w:val="clear" w:color="auto" w:fill="FFFFFF"/>
        </w:rPr>
        <w:t xml:space="preserve"> </w:t>
      </w:r>
      <w:r w:rsidR="008354AE">
        <w:rPr>
          <w:rFonts w:eastAsia="Times New Roman" w:cstheme="minorHAnsi"/>
          <w:color w:val="242424"/>
          <w:shd w:val="clear" w:color="auto" w:fill="FFFFFF"/>
        </w:rPr>
        <w:t>Not u</w:t>
      </w:r>
      <w:r w:rsidR="003B79C6">
        <w:rPr>
          <w:rFonts w:eastAsia="Times New Roman" w:cstheme="minorHAnsi"/>
          <w:color w:val="242424"/>
          <w:shd w:val="clear" w:color="auto" w:fill="FFFFFF"/>
        </w:rPr>
        <w:t>n</w:t>
      </w:r>
      <w:r w:rsidR="008354AE">
        <w:rPr>
          <w:rFonts w:eastAsia="Times New Roman" w:cstheme="minorHAnsi"/>
          <w:color w:val="242424"/>
          <w:shd w:val="clear" w:color="auto" w:fill="FFFFFF"/>
        </w:rPr>
        <w:t>less</w:t>
      </w:r>
      <w:r w:rsidR="003B79C6">
        <w:rPr>
          <w:rFonts w:eastAsia="Times New Roman" w:cstheme="minorHAnsi"/>
          <w:color w:val="242424"/>
          <w:shd w:val="clear" w:color="auto" w:fill="FFFFFF"/>
        </w:rPr>
        <w:t xml:space="preserve"> it is pre-approved by DOE</w:t>
      </w:r>
      <w:r w:rsidR="0092317B">
        <w:rPr>
          <w:rFonts w:eastAsia="Times New Roman" w:cstheme="minorHAnsi"/>
          <w:color w:val="242424"/>
          <w:shd w:val="clear" w:color="auto" w:fill="FFFFFF"/>
        </w:rPr>
        <w:t xml:space="preserve"> during the </w:t>
      </w:r>
      <w:r w:rsidR="001F451A">
        <w:rPr>
          <w:rFonts w:eastAsia="Times New Roman" w:cstheme="minorHAnsi"/>
          <w:color w:val="242424"/>
          <w:shd w:val="clear" w:color="auto" w:fill="FFFFFF"/>
        </w:rPr>
        <w:t>application</w:t>
      </w:r>
      <w:r w:rsidR="0092317B">
        <w:rPr>
          <w:rFonts w:eastAsia="Times New Roman" w:cstheme="minorHAnsi"/>
          <w:color w:val="242424"/>
          <w:shd w:val="clear" w:color="auto" w:fill="FFFFFF"/>
        </w:rPr>
        <w:t xml:space="preserve"> cycle</w:t>
      </w:r>
      <w:r w:rsidR="003B79C6">
        <w:rPr>
          <w:rFonts w:eastAsia="Times New Roman" w:cstheme="minorHAnsi"/>
          <w:color w:val="242424"/>
          <w:shd w:val="clear" w:color="auto" w:fill="FFFFFF"/>
        </w:rPr>
        <w:t>.</w:t>
      </w:r>
    </w:p>
    <w:p w14:paraId="16C2D692" w14:textId="77777777" w:rsidR="00C60E33" w:rsidRDefault="00C60E33" w:rsidP="00D2076B">
      <w:pPr>
        <w:rPr>
          <w:rFonts w:eastAsia="Times New Roman" w:cstheme="minorHAnsi"/>
          <w:color w:val="242424"/>
          <w:shd w:val="clear" w:color="auto" w:fill="FFFFFF"/>
        </w:rPr>
      </w:pPr>
    </w:p>
    <w:p w14:paraId="6566E824" w14:textId="0E251817" w:rsidR="001D0D24" w:rsidRPr="00D2076B" w:rsidRDefault="001D0D24" w:rsidP="001D0D24">
      <w:pPr>
        <w:rPr>
          <w:rFonts w:eastAsia="Times New Roman" w:cstheme="minorHAnsi"/>
          <w:color w:val="242424"/>
          <w:shd w:val="clear" w:color="auto" w:fill="FFFFFF"/>
        </w:rPr>
      </w:pPr>
      <w:r w:rsidRPr="00D2076B">
        <w:rPr>
          <w:rFonts w:eastAsia="Times New Roman" w:cstheme="minorHAnsi"/>
          <w:b/>
          <w:bCs/>
          <w:color w:val="242424"/>
          <w:shd w:val="clear" w:color="auto" w:fill="FFFFFF"/>
        </w:rPr>
        <w:t>Q</w:t>
      </w:r>
      <w:r>
        <w:rPr>
          <w:rFonts w:eastAsia="Times New Roman" w:cstheme="minorHAnsi"/>
          <w:b/>
          <w:bCs/>
          <w:color w:val="242424"/>
          <w:shd w:val="clear" w:color="auto" w:fill="FFFFFF"/>
        </w:rPr>
        <w:t>1</w:t>
      </w:r>
      <w:r>
        <w:rPr>
          <w:rFonts w:eastAsia="Times New Roman" w:cstheme="minorHAnsi"/>
          <w:b/>
          <w:bCs/>
          <w:color w:val="242424"/>
          <w:shd w:val="clear" w:color="auto" w:fill="FFFFFF"/>
        </w:rPr>
        <w:t>2</w:t>
      </w:r>
      <w:r w:rsidRPr="00D2076B">
        <w:rPr>
          <w:rFonts w:eastAsia="Times New Roman" w:cstheme="minorHAnsi"/>
          <w:b/>
          <w:bCs/>
          <w:color w:val="242424"/>
          <w:shd w:val="clear" w:color="auto" w:fill="FFFFFF"/>
        </w:rPr>
        <w:t>.</w:t>
      </w:r>
      <w:r w:rsidRPr="00D2076B">
        <w:rPr>
          <w:rFonts w:eastAsia="Times New Roman" w:cstheme="minorHAnsi"/>
          <w:color w:val="242424"/>
          <w:shd w:val="clear" w:color="auto" w:fill="FFFFFF"/>
        </w:rPr>
        <w:t xml:space="preserve"> </w:t>
      </w:r>
      <w:r w:rsidR="00FC4760">
        <w:rPr>
          <w:rFonts w:eastAsia="Times New Roman" w:cstheme="minorHAnsi"/>
          <w:color w:val="242424"/>
          <w:shd w:val="clear" w:color="auto" w:fill="FFFFFF"/>
        </w:rPr>
        <w:t xml:space="preserve">As a small business, an employee </w:t>
      </w:r>
      <w:r w:rsidR="00411E58">
        <w:rPr>
          <w:rFonts w:eastAsia="Times New Roman" w:cstheme="minorHAnsi"/>
          <w:color w:val="242424"/>
          <w:shd w:val="clear" w:color="auto" w:fill="FFFFFF"/>
        </w:rPr>
        <w:t xml:space="preserve">can perform many different tasks. Can that employee have different </w:t>
      </w:r>
      <w:r w:rsidR="00367BDD">
        <w:rPr>
          <w:rFonts w:eastAsia="Times New Roman" w:cstheme="minorHAnsi"/>
          <w:color w:val="242424"/>
          <w:shd w:val="clear" w:color="auto" w:fill="FFFFFF"/>
        </w:rPr>
        <w:t>hourly rates for each task</w:t>
      </w:r>
      <w:r w:rsidRPr="00D2076B">
        <w:rPr>
          <w:rFonts w:eastAsia="Times New Roman" w:cstheme="minorHAnsi"/>
          <w:color w:val="242424"/>
          <w:shd w:val="clear" w:color="auto" w:fill="FFFFFF"/>
        </w:rPr>
        <w:t>?</w:t>
      </w:r>
    </w:p>
    <w:p w14:paraId="37E4AA82" w14:textId="59CA3557" w:rsidR="001D0D24" w:rsidRDefault="001D0D24" w:rsidP="001D0D24">
      <w:pPr>
        <w:rPr>
          <w:rFonts w:eastAsia="Times New Roman" w:cstheme="minorHAnsi"/>
          <w:color w:val="242424"/>
          <w:shd w:val="clear" w:color="auto" w:fill="FFFFFF"/>
        </w:rPr>
      </w:pPr>
      <w:r w:rsidRPr="00D2076B">
        <w:rPr>
          <w:rFonts w:eastAsia="Times New Roman" w:cstheme="minorHAnsi"/>
          <w:b/>
          <w:bCs/>
          <w:color w:val="242424"/>
          <w:shd w:val="clear" w:color="auto" w:fill="FFFFFF"/>
        </w:rPr>
        <w:t>A</w:t>
      </w:r>
      <w:r>
        <w:rPr>
          <w:rFonts w:eastAsia="Times New Roman" w:cstheme="minorHAnsi"/>
          <w:b/>
          <w:bCs/>
          <w:color w:val="242424"/>
          <w:shd w:val="clear" w:color="auto" w:fill="FFFFFF"/>
        </w:rPr>
        <w:t>1</w:t>
      </w:r>
      <w:r>
        <w:rPr>
          <w:rFonts w:eastAsia="Times New Roman" w:cstheme="minorHAnsi"/>
          <w:b/>
          <w:bCs/>
          <w:color w:val="242424"/>
          <w:shd w:val="clear" w:color="auto" w:fill="FFFFFF"/>
        </w:rPr>
        <w:t>2</w:t>
      </w:r>
      <w:r w:rsidRPr="00D2076B">
        <w:rPr>
          <w:rFonts w:eastAsia="Times New Roman" w:cstheme="minorHAnsi"/>
          <w:b/>
          <w:bCs/>
          <w:color w:val="242424"/>
          <w:shd w:val="clear" w:color="auto" w:fill="FFFFFF"/>
        </w:rPr>
        <w:t>.</w:t>
      </w:r>
      <w:r w:rsidRPr="00D2076B">
        <w:rPr>
          <w:rFonts w:eastAsia="Times New Roman" w:cstheme="minorHAnsi"/>
          <w:color w:val="242424"/>
          <w:shd w:val="clear" w:color="auto" w:fill="FFFFFF"/>
        </w:rPr>
        <w:t xml:space="preserve"> </w:t>
      </w:r>
      <w:r w:rsidR="00367BDD">
        <w:rPr>
          <w:rFonts w:eastAsia="Times New Roman" w:cstheme="minorHAnsi"/>
          <w:color w:val="242424"/>
          <w:shd w:val="clear" w:color="auto" w:fill="FFFFFF"/>
        </w:rPr>
        <w:t>No, an employee can only have one labor rate</w:t>
      </w:r>
      <w:r>
        <w:rPr>
          <w:rFonts w:eastAsia="Times New Roman" w:cstheme="minorHAnsi"/>
          <w:color w:val="242424"/>
          <w:shd w:val="clear" w:color="auto" w:fill="FFFFFF"/>
        </w:rPr>
        <w:t>.</w:t>
      </w:r>
    </w:p>
    <w:p w14:paraId="78F6CB41" w14:textId="77777777" w:rsidR="00C60E33" w:rsidRPr="00D2076B" w:rsidRDefault="00C60E33" w:rsidP="00D2076B">
      <w:pPr>
        <w:rPr>
          <w:rFonts w:cstheme="minorHAnsi"/>
        </w:rPr>
      </w:pPr>
    </w:p>
    <w:sectPr w:rsidR="00C60E33" w:rsidRPr="00D2076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2B81" w14:textId="77777777" w:rsidR="0082034E" w:rsidRDefault="0082034E" w:rsidP="008C299E">
      <w:pPr>
        <w:spacing w:after="0" w:line="240" w:lineRule="auto"/>
      </w:pPr>
      <w:r>
        <w:separator/>
      </w:r>
    </w:p>
  </w:endnote>
  <w:endnote w:type="continuationSeparator" w:id="0">
    <w:p w14:paraId="7C6E876C" w14:textId="77777777" w:rsidR="0082034E" w:rsidRDefault="0082034E" w:rsidP="008C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C208A" w14:textId="77777777" w:rsidR="0082034E" w:rsidRDefault="0082034E" w:rsidP="008C299E">
      <w:pPr>
        <w:spacing w:after="0" w:line="240" w:lineRule="auto"/>
      </w:pPr>
      <w:r>
        <w:separator/>
      </w:r>
    </w:p>
  </w:footnote>
  <w:footnote w:type="continuationSeparator" w:id="0">
    <w:p w14:paraId="026809E4" w14:textId="77777777" w:rsidR="0082034E" w:rsidRDefault="0082034E" w:rsidP="008C2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2538" w14:textId="40E4B57C" w:rsidR="008C299E" w:rsidRDefault="008C299E">
    <w:pPr>
      <w:pStyle w:val="Header"/>
    </w:pPr>
    <w:r>
      <w:rPr>
        <w:noProof/>
      </w:rPr>
      <w:drawing>
        <wp:inline distT="0" distB="0" distL="0" distR="0" wp14:anchorId="2113203A" wp14:editId="75C8242A">
          <wp:extent cx="1533525" cy="533400"/>
          <wp:effectExtent l="0" t="0" r="9525" b="0"/>
          <wp:docPr id="3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D1CDB"/>
    <w:multiLevelType w:val="hybridMultilevel"/>
    <w:tmpl w:val="E0781658"/>
    <w:lvl w:ilvl="0" w:tplc="AA4A814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2424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B156A7"/>
    <w:multiLevelType w:val="hybridMultilevel"/>
    <w:tmpl w:val="68621222"/>
    <w:lvl w:ilvl="0" w:tplc="12F20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4419026">
    <w:abstractNumId w:val="1"/>
  </w:num>
  <w:num w:numId="2" w16cid:durableId="168632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8B"/>
    <w:rsid w:val="00020273"/>
    <w:rsid w:val="00060204"/>
    <w:rsid w:val="0006628F"/>
    <w:rsid w:val="00067E80"/>
    <w:rsid w:val="00092BE5"/>
    <w:rsid w:val="000B7825"/>
    <w:rsid w:val="000D6A8B"/>
    <w:rsid w:val="000F00BE"/>
    <w:rsid w:val="00102AAD"/>
    <w:rsid w:val="00154679"/>
    <w:rsid w:val="001C3B13"/>
    <w:rsid w:val="001D0D24"/>
    <w:rsid w:val="001F451A"/>
    <w:rsid w:val="00227447"/>
    <w:rsid w:val="002912A1"/>
    <w:rsid w:val="002F6807"/>
    <w:rsid w:val="003176B9"/>
    <w:rsid w:val="003656C9"/>
    <w:rsid w:val="00367BDD"/>
    <w:rsid w:val="00392502"/>
    <w:rsid w:val="003B79C6"/>
    <w:rsid w:val="00411E58"/>
    <w:rsid w:val="00464067"/>
    <w:rsid w:val="004848E9"/>
    <w:rsid w:val="00497D0E"/>
    <w:rsid w:val="00542383"/>
    <w:rsid w:val="00573E1F"/>
    <w:rsid w:val="005F75C4"/>
    <w:rsid w:val="00616150"/>
    <w:rsid w:val="00665DF7"/>
    <w:rsid w:val="006A207F"/>
    <w:rsid w:val="006C6D13"/>
    <w:rsid w:val="006C72EA"/>
    <w:rsid w:val="006E0779"/>
    <w:rsid w:val="007238F5"/>
    <w:rsid w:val="007278E2"/>
    <w:rsid w:val="00753C4E"/>
    <w:rsid w:val="0076727E"/>
    <w:rsid w:val="00767955"/>
    <w:rsid w:val="0077453B"/>
    <w:rsid w:val="0078137B"/>
    <w:rsid w:val="00781AA5"/>
    <w:rsid w:val="007C753B"/>
    <w:rsid w:val="007D0BEE"/>
    <w:rsid w:val="007E1D3D"/>
    <w:rsid w:val="0082034E"/>
    <w:rsid w:val="008354AE"/>
    <w:rsid w:val="00853FFB"/>
    <w:rsid w:val="0089348D"/>
    <w:rsid w:val="008C299E"/>
    <w:rsid w:val="008E7790"/>
    <w:rsid w:val="008F291B"/>
    <w:rsid w:val="009031A6"/>
    <w:rsid w:val="0092317B"/>
    <w:rsid w:val="009772C7"/>
    <w:rsid w:val="00A8485F"/>
    <w:rsid w:val="00A942F6"/>
    <w:rsid w:val="00AE6235"/>
    <w:rsid w:val="00B22931"/>
    <w:rsid w:val="00B2487C"/>
    <w:rsid w:val="00B653B3"/>
    <w:rsid w:val="00B919BC"/>
    <w:rsid w:val="00B92037"/>
    <w:rsid w:val="00BB2233"/>
    <w:rsid w:val="00C43042"/>
    <w:rsid w:val="00C528C9"/>
    <w:rsid w:val="00C60E33"/>
    <w:rsid w:val="00C6249D"/>
    <w:rsid w:val="00C6786B"/>
    <w:rsid w:val="00CA4276"/>
    <w:rsid w:val="00CF767A"/>
    <w:rsid w:val="00D2076B"/>
    <w:rsid w:val="00D35665"/>
    <w:rsid w:val="00D460D8"/>
    <w:rsid w:val="00D47622"/>
    <w:rsid w:val="00D56A98"/>
    <w:rsid w:val="00D579CE"/>
    <w:rsid w:val="00DC6E8A"/>
    <w:rsid w:val="00DD6F2C"/>
    <w:rsid w:val="00E02D4C"/>
    <w:rsid w:val="00E4770A"/>
    <w:rsid w:val="00E512CD"/>
    <w:rsid w:val="00E82B4E"/>
    <w:rsid w:val="00E8606D"/>
    <w:rsid w:val="00EA7EEA"/>
    <w:rsid w:val="00F36E61"/>
    <w:rsid w:val="00FB18A4"/>
    <w:rsid w:val="00FC01B9"/>
    <w:rsid w:val="00FC4760"/>
    <w:rsid w:val="00F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CC18"/>
  <w15:chartTrackingRefBased/>
  <w15:docId w15:val="{98126675-8148-49BE-AFC8-81DE4A35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A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99E"/>
  </w:style>
  <w:style w:type="paragraph" w:styleId="Footer">
    <w:name w:val="footer"/>
    <w:basedOn w:val="Normal"/>
    <w:link w:val="FooterChar"/>
    <w:uiPriority w:val="99"/>
    <w:unhideWhenUsed/>
    <w:rsid w:val="008C2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Donley</dc:creator>
  <cp:keywords/>
  <dc:description/>
  <cp:lastModifiedBy>Dave Donley</cp:lastModifiedBy>
  <cp:revision>88</cp:revision>
  <dcterms:created xsi:type="dcterms:W3CDTF">2022-08-16T21:44:00Z</dcterms:created>
  <dcterms:modified xsi:type="dcterms:W3CDTF">2022-09-23T15:08:00Z</dcterms:modified>
</cp:coreProperties>
</file>