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B92D3" w14:textId="77777777" w:rsidR="00D537C3" w:rsidRDefault="00D537C3">
      <w:pPr>
        <w:rPr>
          <w:b/>
          <w:bCs/>
        </w:rPr>
      </w:pPr>
    </w:p>
    <w:p w14:paraId="619C0816" w14:textId="18D100CA" w:rsidR="00E4770A" w:rsidRPr="00060204" w:rsidRDefault="000D6A8B">
      <w:pPr>
        <w:rPr>
          <w:b/>
          <w:bCs/>
        </w:rPr>
      </w:pPr>
      <w:r w:rsidRPr="00060204">
        <w:rPr>
          <w:b/>
          <w:bCs/>
        </w:rPr>
        <w:t xml:space="preserve">FAQs – </w:t>
      </w:r>
      <w:r w:rsidR="00813360">
        <w:rPr>
          <w:b/>
          <w:bCs/>
        </w:rPr>
        <w:t>Patent Costs</w:t>
      </w:r>
    </w:p>
    <w:p w14:paraId="75CB0DF1" w14:textId="4E469D0A" w:rsidR="000D6A8B" w:rsidRDefault="000D6A8B">
      <w:r w:rsidRPr="00060204">
        <w:rPr>
          <w:b/>
          <w:bCs/>
        </w:rPr>
        <w:t>Q1.</w:t>
      </w:r>
      <w:r>
        <w:t xml:space="preserve"> </w:t>
      </w:r>
      <w:r w:rsidR="00813360">
        <w:t>Are patent costs allowed</w:t>
      </w:r>
      <w:r w:rsidR="00E646A7">
        <w:t xml:space="preserve"> on a Phase I budget</w:t>
      </w:r>
      <w:r w:rsidR="00F37ED0">
        <w:t>?</w:t>
      </w:r>
    </w:p>
    <w:p w14:paraId="231F0146" w14:textId="6A75A470" w:rsidR="001C3B13" w:rsidRPr="001A1135" w:rsidRDefault="000D6A8B" w:rsidP="00AF749D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F9190C">
        <w:rPr>
          <w:rFonts w:cstheme="minorHAnsi"/>
          <w:b/>
          <w:bCs/>
        </w:rPr>
        <w:t>A1.</w:t>
      </w:r>
      <w:r w:rsidRPr="00F9190C">
        <w:rPr>
          <w:rFonts w:cstheme="minorHAnsi"/>
        </w:rPr>
        <w:t xml:space="preserve"> </w:t>
      </w:r>
      <w:r w:rsidR="00813360">
        <w:rPr>
          <w:rFonts w:cstheme="minorHAnsi"/>
        </w:rPr>
        <w:t xml:space="preserve">Yes, but only </w:t>
      </w:r>
      <w:r w:rsidR="00A26D69">
        <w:rPr>
          <w:rFonts w:cstheme="minorHAnsi"/>
        </w:rPr>
        <w:t>as budgeted if using a 3</w:t>
      </w:r>
      <w:r w:rsidR="00A26D69" w:rsidRPr="00A26D69">
        <w:rPr>
          <w:rFonts w:cstheme="minorHAnsi"/>
          <w:vertAlign w:val="superscript"/>
        </w:rPr>
        <w:t>rd</w:t>
      </w:r>
      <w:r w:rsidR="00A26D69">
        <w:rPr>
          <w:rFonts w:cstheme="minorHAnsi"/>
        </w:rPr>
        <w:t xml:space="preserve"> party TABA vendor.</w:t>
      </w:r>
      <w:r w:rsidR="00365E2F">
        <w:rPr>
          <w:rFonts w:cstheme="minorHAnsi"/>
        </w:rPr>
        <w:t>, and only as a result of IP discovered under the grant</w:t>
      </w:r>
      <w:r w:rsidR="007B18CB">
        <w:rPr>
          <w:rFonts w:cstheme="minorHAnsi"/>
        </w:rPr>
        <w:t>.</w:t>
      </w:r>
    </w:p>
    <w:p w14:paraId="22DB3ECB" w14:textId="77777777" w:rsidR="00561BEF" w:rsidRDefault="00561BEF" w:rsidP="005018F1"/>
    <w:p w14:paraId="017D816A" w14:textId="179C8F42" w:rsidR="00D35665" w:rsidRDefault="00B2487C" w:rsidP="002F6807">
      <w:r w:rsidRPr="00060204">
        <w:rPr>
          <w:b/>
          <w:bCs/>
        </w:rPr>
        <w:t>Q2</w:t>
      </w:r>
      <w:r>
        <w:t xml:space="preserve">. </w:t>
      </w:r>
      <w:r w:rsidR="007B18CB">
        <w:t>Are private patent costs allowable</w:t>
      </w:r>
      <w:r w:rsidR="00954524">
        <w:t>?</w:t>
      </w:r>
    </w:p>
    <w:p w14:paraId="5EC75BEB" w14:textId="320639CE" w:rsidR="00561BEF" w:rsidRDefault="00D35665" w:rsidP="002966BA">
      <w:r w:rsidRPr="00060204">
        <w:rPr>
          <w:b/>
          <w:bCs/>
        </w:rPr>
        <w:t>A2</w:t>
      </w:r>
      <w:r>
        <w:t xml:space="preserve">. </w:t>
      </w:r>
      <w:r w:rsidR="007B18CB">
        <w:t>No</w:t>
      </w:r>
      <w:r w:rsidR="00954524">
        <w:t>.</w:t>
      </w:r>
    </w:p>
    <w:p w14:paraId="3DC3AE5D" w14:textId="77777777" w:rsidR="00F21CC5" w:rsidRDefault="00F21CC5" w:rsidP="002966BA"/>
    <w:p w14:paraId="5BCE573D" w14:textId="3617EF9C" w:rsidR="000E2ABA" w:rsidRDefault="00DD6F2C" w:rsidP="002F6807">
      <w:r w:rsidRPr="00060204">
        <w:rPr>
          <w:b/>
          <w:bCs/>
        </w:rPr>
        <w:t>Q3</w:t>
      </w:r>
      <w:r>
        <w:t xml:space="preserve">. </w:t>
      </w:r>
      <w:r w:rsidR="00E646A7">
        <w:t>What are the rules for</w:t>
      </w:r>
      <w:r w:rsidR="00F733F7">
        <w:t xml:space="preserve"> patent costs under a Phase II</w:t>
      </w:r>
      <w:r>
        <w:t>?</w:t>
      </w:r>
    </w:p>
    <w:p w14:paraId="52EC8EBA" w14:textId="5F37F538" w:rsidR="00DD6F2C" w:rsidRDefault="00DD6F2C" w:rsidP="002F6807">
      <w:pPr>
        <w:rPr>
          <w:rFonts w:eastAsia="Times New Roman" w:cstheme="minorHAnsi"/>
          <w:lang w:val="en"/>
        </w:rPr>
      </w:pPr>
      <w:r w:rsidRPr="00060204">
        <w:rPr>
          <w:b/>
          <w:bCs/>
        </w:rPr>
        <w:t>A</w:t>
      </w:r>
      <w:r w:rsidR="00FC01B9" w:rsidRPr="00060204">
        <w:rPr>
          <w:b/>
          <w:bCs/>
        </w:rPr>
        <w:t>3</w:t>
      </w:r>
      <w:r w:rsidRPr="00060204">
        <w:rPr>
          <w:b/>
          <w:bCs/>
        </w:rPr>
        <w:t xml:space="preserve">. </w:t>
      </w:r>
      <w:r w:rsidR="00FC01B9" w:rsidRPr="00060204">
        <w:rPr>
          <w:b/>
          <w:bCs/>
        </w:rPr>
        <w:t xml:space="preserve"> </w:t>
      </w:r>
      <w:r w:rsidR="0076778A">
        <w:rPr>
          <w:rFonts w:cstheme="minorHAnsi"/>
        </w:rPr>
        <w:t xml:space="preserve">TABA funding up to $50,000 can be used for patent costs for </w:t>
      </w:r>
      <w:r w:rsidR="00D15CB5">
        <w:rPr>
          <w:rFonts w:cstheme="minorHAnsi"/>
        </w:rPr>
        <w:t>those</w:t>
      </w:r>
      <w:r w:rsidR="0076778A">
        <w:rPr>
          <w:rFonts w:cstheme="minorHAnsi"/>
        </w:rPr>
        <w:t xml:space="preserve"> discovered under the Phase I or Phase II efforts.</w:t>
      </w:r>
    </w:p>
    <w:p w14:paraId="344E4021" w14:textId="77777777" w:rsidR="00F21CC5" w:rsidRDefault="00F21CC5" w:rsidP="002F6807">
      <w:pPr>
        <w:rPr>
          <w:rFonts w:eastAsia="Times New Roman" w:cstheme="minorHAnsi"/>
          <w:lang w:val="en"/>
        </w:rPr>
      </w:pPr>
    </w:p>
    <w:p w14:paraId="3470211C" w14:textId="165B2FC0" w:rsidR="002966BA" w:rsidRDefault="002966BA" w:rsidP="002966BA">
      <w:r w:rsidRPr="00060204">
        <w:rPr>
          <w:b/>
          <w:bCs/>
        </w:rPr>
        <w:t>Q</w:t>
      </w:r>
      <w:r>
        <w:rPr>
          <w:b/>
          <w:bCs/>
        </w:rPr>
        <w:t>4</w:t>
      </w:r>
      <w:r>
        <w:t xml:space="preserve">. </w:t>
      </w:r>
      <w:r w:rsidR="00F954F4">
        <w:t xml:space="preserve">DoD routinely allows patent costs (discovered under a contract) </w:t>
      </w:r>
      <w:r w:rsidR="00F8638C">
        <w:t>as an indirect expense. Why is DOE different</w:t>
      </w:r>
      <w:r>
        <w:t>?</w:t>
      </w:r>
    </w:p>
    <w:p w14:paraId="4A073067" w14:textId="77777777" w:rsidR="000505C6" w:rsidRDefault="002966BA" w:rsidP="00760CF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060204">
        <w:rPr>
          <w:b/>
          <w:bCs/>
        </w:rPr>
        <w:t>A</w:t>
      </w:r>
      <w:r>
        <w:rPr>
          <w:b/>
          <w:bCs/>
        </w:rPr>
        <w:t>4</w:t>
      </w:r>
      <w:r w:rsidRPr="00060204">
        <w:rPr>
          <w:b/>
          <w:bCs/>
        </w:rPr>
        <w:t xml:space="preserve">. </w:t>
      </w:r>
      <w:r w:rsidR="00F8638C">
        <w:rPr>
          <w:rFonts w:cstheme="minorHAnsi"/>
        </w:rPr>
        <w:t>The DOE has set up a regulatory conflict</w:t>
      </w:r>
      <w:r w:rsidR="00885E1A">
        <w:rPr>
          <w:rFonts w:cstheme="minorHAnsi"/>
        </w:rPr>
        <w:t xml:space="preserve"> by amending FAR Cost Principles with the statement from </w:t>
      </w:r>
      <w:r w:rsidR="000505C6">
        <w:rPr>
          <w:rFonts w:cstheme="minorHAnsi"/>
        </w:rPr>
        <w:t>2 CFR 910.352:</w:t>
      </w:r>
    </w:p>
    <w:p w14:paraId="166BDC3F" w14:textId="77777777" w:rsidR="009A09C8" w:rsidRPr="00CD24A4" w:rsidRDefault="009A09C8" w:rsidP="00CD24A4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Arial" w:eastAsia="Times New Roman" w:hAnsi="Arial" w:cs="Arial"/>
          <w:i/>
          <w:iCs/>
          <w:color w:val="000000"/>
          <w:sz w:val="18"/>
          <w:szCs w:val="18"/>
        </w:rPr>
      </w:pPr>
      <w:r w:rsidRPr="00CD24A4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For For-Profit Entities, the Cost Principles contained in 48 CFR 31.2 (Contracts with Commercial Organizations) must be followed in lieu of the Cost principles contained in 2 CFR 200.400 through 200.475, </w:t>
      </w:r>
      <w:r w:rsidRPr="00CD24A4">
        <w:rPr>
          <w:rFonts w:ascii="Arial" w:eastAsia="Times New Roman" w:hAnsi="Arial" w:cs="Arial"/>
          <w:i/>
          <w:iCs/>
          <w:color w:val="000000"/>
          <w:sz w:val="18"/>
          <w:szCs w:val="18"/>
          <w:u w:val="single"/>
        </w:rPr>
        <w:t>except that patent prosecution costs are not allowable unless specifically authorized in the award document.</w:t>
      </w:r>
      <w:r w:rsidRPr="00CD24A4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This applies to For-Profit entities whether they are recipients or subrecipients.</w:t>
      </w:r>
    </w:p>
    <w:p w14:paraId="532E5B44" w14:textId="7767A9ED" w:rsidR="002966BA" w:rsidRPr="00FB70F5" w:rsidRDefault="005018DC" w:rsidP="005018DC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B70F5">
        <w:rPr>
          <w:rFonts w:cstheme="minorHAnsi"/>
        </w:rPr>
        <w:t>Whereas the Patent clause i</w:t>
      </w:r>
      <w:r w:rsidR="008603F0" w:rsidRPr="00FB70F5">
        <w:rPr>
          <w:rFonts w:cstheme="minorHAnsi"/>
        </w:rPr>
        <w:t>n</w:t>
      </w:r>
      <w:r w:rsidRPr="00FB70F5">
        <w:rPr>
          <w:rFonts w:cstheme="minorHAnsi"/>
        </w:rPr>
        <w:t xml:space="preserve"> each DOE </w:t>
      </w:r>
      <w:r w:rsidR="00FB70F5">
        <w:rPr>
          <w:rFonts w:cstheme="minorHAnsi"/>
        </w:rPr>
        <w:t xml:space="preserve">SBIR/STTR </w:t>
      </w:r>
      <w:r w:rsidRPr="00FB70F5">
        <w:rPr>
          <w:rFonts w:cstheme="minorHAnsi"/>
        </w:rPr>
        <w:t>grant</w:t>
      </w:r>
      <w:r w:rsidR="008603F0" w:rsidRPr="00FB70F5">
        <w:rPr>
          <w:rFonts w:cstheme="minorHAnsi"/>
        </w:rPr>
        <w:t xml:space="preserve"> comp</w:t>
      </w:r>
      <w:r w:rsidR="003E2FBF" w:rsidRPr="00FB70F5">
        <w:rPr>
          <w:rFonts w:cstheme="minorHAnsi"/>
        </w:rPr>
        <w:t>el</w:t>
      </w:r>
      <w:r w:rsidR="008603F0" w:rsidRPr="00FB70F5">
        <w:rPr>
          <w:rFonts w:cstheme="minorHAnsi"/>
        </w:rPr>
        <w:t>s</w:t>
      </w:r>
      <w:r w:rsidR="003E2FBF" w:rsidRPr="00FB70F5">
        <w:rPr>
          <w:rFonts w:cstheme="minorHAnsi"/>
        </w:rPr>
        <w:t xml:space="preserve"> the grantee to allocate </w:t>
      </w:r>
      <w:r w:rsidR="003E2FBF" w:rsidRPr="00FB70F5">
        <w:rPr>
          <w:rFonts w:cstheme="minorHAnsi"/>
          <w:color w:val="000000"/>
        </w:rPr>
        <w:t>a non-exclusive, nontransferable, irrevocable, paid-up license to practice or have practiced for or on behalf of the U.S. the subject invention throughout the world</w:t>
      </w:r>
      <w:r w:rsidR="009379A5" w:rsidRPr="00FB70F5">
        <w:rPr>
          <w:rFonts w:cstheme="minorHAnsi"/>
          <w:color w:val="000000"/>
        </w:rPr>
        <w:t xml:space="preserve">, the DOE doesn’t appear to want to pay the grantee for </w:t>
      </w:r>
      <w:r w:rsidR="00F5602B" w:rsidRPr="00FB70F5">
        <w:rPr>
          <w:rFonts w:cstheme="minorHAnsi"/>
          <w:color w:val="000000"/>
        </w:rPr>
        <w:t>establishing those rights unless “specifically authorized in the award document</w:t>
      </w:r>
      <w:r w:rsidR="00E22DB3">
        <w:rPr>
          <w:rFonts w:cstheme="minorHAnsi"/>
          <w:color w:val="000000"/>
        </w:rPr>
        <w:t>”</w:t>
      </w:r>
      <w:r w:rsidR="00F5602B" w:rsidRPr="00FB70F5">
        <w:rPr>
          <w:rFonts w:cstheme="minorHAnsi"/>
          <w:color w:val="000000"/>
        </w:rPr>
        <w:t>.</w:t>
      </w:r>
    </w:p>
    <w:p w14:paraId="2C752AB8" w14:textId="77777777" w:rsidR="00F21CC5" w:rsidRDefault="00F21CC5" w:rsidP="00760CFD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</w:p>
    <w:p w14:paraId="5DD9EB5A" w14:textId="77777777" w:rsidR="00760CFD" w:rsidRDefault="00760CFD" w:rsidP="00760CFD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lang w:val="en"/>
        </w:rPr>
      </w:pPr>
    </w:p>
    <w:p w14:paraId="70784C83" w14:textId="77777777" w:rsidR="00D462BE" w:rsidRPr="00D462BE" w:rsidRDefault="00D462BE" w:rsidP="00760CF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</w:p>
    <w:p w14:paraId="47BD214F" w14:textId="04B7665F" w:rsidR="00180418" w:rsidRPr="00227447" w:rsidRDefault="00180418" w:rsidP="008549ED">
      <w:pPr>
        <w:rPr>
          <w:rFonts w:cstheme="minorHAnsi"/>
        </w:rPr>
      </w:pPr>
    </w:p>
    <w:sectPr w:rsidR="00180418" w:rsidRPr="0022744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CAA69" w14:textId="77777777" w:rsidR="005A391C" w:rsidRDefault="005A391C" w:rsidP="00DB073F">
      <w:pPr>
        <w:spacing w:after="0" w:line="240" w:lineRule="auto"/>
      </w:pPr>
      <w:r>
        <w:separator/>
      </w:r>
    </w:p>
  </w:endnote>
  <w:endnote w:type="continuationSeparator" w:id="0">
    <w:p w14:paraId="1C0C366E" w14:textId="77777777" w:rsidR="005A391C" w:rsidRDefault="005A391C" w:rsidP="00DB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charset w:val="00"/>
    <w:family w:val="swiss"/>
    <w:pitch w:val="variable"/>
    <w:sig w:usb0="00000287" w:usb1="00000800" w:usb2="00000000" w:usb3="00000000" w:csb0="000000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50568" w14:textId="77777777" w:rsidR="005A391C" w:rsidRDefault="005A391C" w:rsidP="00DB073F">
      <w:pPr>
        <w:spacing w:after="0" w:line="240" w:lineRule="auto"/>
      </w:pPr>
      <w:r>
        <w:separator/>
      </w:r>
    </w:p>
  </w:footnote>
  <w:footnote w:type="continuationSeparator" w:id="0">
    <w:p w14:paraId="7D52D4B5" w14:textId="77777777" w:rsidR="005A391C" w:rsidRDefault="005A391C" w:rsidP="00DB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099C0" w14:textId="7C25A6F7" w:rsidR="00DB073F" w:rsidRDefault="00DB073F">
    <w:pPr>
      <w:pStyle w:val="Header"/>
    </w:pPr>
    <w:r>
      <w:rPr>
        <w:noProof/>
      </w:rPr>
      <w:drawing>
        <wp:inline distT="0" distB="0" distL="0" distR="0" wp14:anchorId="4B835AB3" wp14:editId="093B605E">
          <wp:extent cx="1533525" cy="533400"/>
          <wp:effectExtent l="0" t="0" r="9525" b="0"/>
          <wp:docPr id="3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Logo, company name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3525" cy="533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D70CB"/>
    <w:multiLevelType w:val="hybridMultilevel"/>
    <w:tmpl w:val="C61A8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791CAF"/>
    <w:multiLevelType w:val="hybridMultilevel"/>
    <w:tmpl w:val="8E140940"/>
    <w:lvl w:ilvl="0" w:tplc="9EE2E00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853CE0"/>
    <w:multiLevelType w:val="hybridMultilevel"/>
    <w:tmpl w:val="DB9C7774"/>
    <w:lvl w:ilvl="0" w:tplc="D1BA69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CD271CA"/>
    <w:multiLevelType w:val="hybridMultilevel"/>
    <w:tmpl w:val="D73A5E34"/>
    <w:lvl w:ilvl="0" w:tplc="59428A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B156A7"/>
    <w:multiLevelType w:val="hybridMultilevel"/>
    <w:tmpl w:val="68621222"/>
    <w:lvl w:ilvl="0" w:tplc="12F20A3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14419026">
    <w:abstractNumId w:val="4"/>
  </w:num>
  <w:num w:numId="2" w16cid:durableId="345642570">
    <w:abstractNumId w:val="1"/>
  </w:num>
  <w:num w:numId="3" w16cid:durableId="1910145016">
    <w:abstractNumId w:val="3"/>
  </w:num>
  <w:num w:numId="4" w16cid:durableId="8482508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3326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A8B"/>
    <w:rsid w:val="00000FE3"/>
    <w:rsid w:val="000332B6"/>
    <w:rsid w:val="0003504C"/>
    <w:rsid w:val="00036C73"/>
    <w:rsid w:val="000505C6"/>
    <w:rsid w:val="00053514"/>
    <w:rsid w:val="00060204"/>
    <w:rsid w:val="0006628F"/>
    <w:rsid w:val="00073285"/>
    <w:rsid w:val="0007573B"/>
    <w:rsid w:val="00084AAE"/>
    <w:rsid w:val="000A0A63"/>
    <w:rsid w:val="000B7825"/>
    <w:rsid w:val="000D6A8B"/>
    <w:rsid w:val="000E2ABA"/>
    <w:rsid w:val="000E2CDF"/>
    <w:rsid w:val="00101366"/>
    <w:rsid w:val="00102AAD"/>
    <w:rsid w:val="00135326"/>
    <w:rsid w:val="001402CA"/>
    <w:rsid w:val="00154679"/>
    <w:rsid w:val="001758F3"/>
    <w:rsid w:val="0017781B"/>
    <w:rsid w:val="00180418"/>
    <w:rsid w:val="00192762"/>
    <w:rsid w:val="001A1135"/>
    <w:rsid w:val="001A11D2"/>
    <w:rsid w:val="001B23B7"/>
    <w:rsid w:val="001C3B13"/>
    <w:rsid w:val="001F50CD"/>
    <w:rsid w:val="00201453"/>
    <w:rsid w:val="002036D2"/>
    <w:rsid w:val="00227447"/>
    <w:rsid w:val="00231196"/>
    <w:rsid w:val="002940E4"/>
    <w:rsid w:val="002966BA"/>
    <w:rsid w:val="002D2688"/>
    <w:rsid w:val="002D78A1"/>
    <w:rsid w:val="002E0AF0"/>
    <w:rsid w:val="002E42C9"/>
    <w:rsid w:val="002F6807"/>
    <w:rsid w:val="003003CA"/>
    <w:rsid w:val="00323691"/>
    <w:rsid w:val="00324ED2"/>
    <w:rsid w:val="003656C9"/>
    <w:rsid w:val="00365E2F"/>
    <w:rsid w:val="003921D8"/>
    <w:rsid w:val="00392502"/>
    <w:rsid w:val="003A5C74"/>
    <w:rsid w:val="003D2A53"/>
    <w:rsid w:val="003D5D78"/>
    <w:rsid w:val="003D656F"/>
    <w:rsid w:val="003E2FBF"/>
    <w:rsid w:val="003E3412"/>
    <w:rsid w:val="003E5E51"/>
    <w:rsid w:val="00407D7D"/>
    <w:rsid w:val="004216A6"/>
    <w:rsid w:val="00437FCC"/>
    <w:rsid w:val="004848E9"/>
    <w:rsid w:val="004949E3"/>
    <w:rsid w:val="00497D0E"/>
    <w:rsid w:val="004B1527"/>
    <w:rsid w:val="004E15F0"/>
    <w:rsid w:val="004E7FB5"/>
    <w:rsid w:val="004F4138"/>
    <w:rsid w:val="005018DC"/>
    <w:rsid w:val="005018F1"/>
    <w:rsid w:val="005064A9"/>
    <w:rsid w:val="00521A4C"/>
    <w:rsid w:val="005358AD"/>
    <w:rsid w:val="00542383"/>
    <w:rsid w:val="00561BEF"/>
    <w:rsid w:val="005734E7"/>
    <w:rsid w:val="00573E1F"/>
    <w:rsid w:val="00584C6E"/>
    <w:rsid w:val="0059063F"/>
    <w:rsid w:val="00594F39"/>
    <w:rsid w:val="005A391C"/>
    <w:rsid w:val="005C422E"/>
    <w:rsid w:val="005D54CF"/>
    <w:rsid w:val="005F75C4"/>
    <w:rsid w:val="00602B7F"/>
    <w:rsid w:val="00603B19"/>
    <w:rsid w:val="0061054F"/>
    <w:rsid w:val="00612AD9"/>
    <w:rsid w:val="00616150"/>
    <w:rsid w:val="00622126"/>
    <w:rsid w:val="006226EF"/>
    <w:rsid w:val="0064024F"/>
    <w:rsid w:val="00653487"/>
    <w:rsid w:val="00665DF7"/>
    <w:rsid w:val="00670DC1"/>
    <w:rsid w:val="00674D0F"/>
    <w:rsid w:val="006823AF"/>
    <w:rsid w:val="006A207F"/>
    <w:rsid w:val="006C6D13"/>
    <w:rsid w:val="006C72EA"/>
    <w:rsid w:val="006D449F"/>
    <w:rsid w:val="006E0779"/>
    <w:rsid w:val="006E239F"/>
    <w:rsid w:val="006F7F92"/>
    <w:rsid w:val="00702592"/>
    <w:rsid w:val="00707B6E"/>
    <w:rsid w:val="0071443A"/>
    <w:rsid w:val="007278E2"/>
    <w:rsid w:val="0075349D"/>
    <w:rsid w:val="00753C4E"/>
    <w:rsid w:val="00760CFD"/>
    <w:rsid w:val="0076727E"/>
    <w:rsid w:val="0076778A"/>
    <w:rsid w:val="00767955"/>
    <w:rsid w:val="0077453B"/>
    <w:rsid w:val="0078137B"/>
    <w:rsid w:val="00781AA5"/>
    <w:rsid w:val="00794A2A"/>
    <w:rsid w:val="007A0527"/>
    <w:rsid w:val="007B18CB"/>
    <w:rsid w:val="007C2666"/>
    <w:rsid w:val="007C47E2"/>
    <w:rsid w:val="007C753B"/>
    <w:rsid w:val="007D3902"/>
    <w:rsid w:val="007D3BF7"/>
    <w:rsid w:val="007E3CD8"/>
    <w:rsid w:val="007F7F25"/>
    <w:rsid w:val="00812581"/>
    <w:rsid w:val="00813360"/>
    <w:rsid w:val="00822EE4"/>
    <w:rsid w:val="00826A12"/>
    <w:rsid w:val="00835C88"/>
    <w:rsid w:val="00853FFB"/>
    <w:rsid w:val="008549ED"/>
    <w:rsid w:val="008603F0"/>
    <w:rsid w:val="008662EA"/>
    <w:rsid w:val="00867B0E"/>
    <w:rsid w:val="00877B5B"/>
    <w:rsid w:val="00885E1A"/>
    <w:rsid w:val="0089348D"/>
    <w:rsid w:val="008D1362"/>
    <w:rsid w:val="008E7790"/>
    <w:rsid w:val="008F291B"/>
    <w:rsid w:val="008F6B9A"/>
    <w:rsid w:val="00916BC8"/>
    <w:rsid w:val="00932C2D"/>
    <w:rsid w:val="009331C5"/>
    <w:rsid w:val="00933754"/>
    <w:rsid w:val="009379A5"/>
    <w:rsid w:val="00954524"/>
    <w:rsid w:val="00961F2C"/>
    <w:rsid w:val="009744FF"/>
    <w:rsid w:val="009772C7"/>
    <w:rsid w:val="00977E7F"/>
    <w:rsid w:val="0098406A"/>
    <w:rsid w:val="00986F52"/>
    <w:rsid w:val="009A09C8"/>
    <w:rsid w:val="009A39E4"/>
    <w:rsid w:val="009D5736"/>
    <w:rsid w:val="009E52E0"/>
    <w:rsid w:val="00A26D69"/>
    <w:rsid w:val="00A33F67"/>
    <w:rsid w:val="00A56F8F"/>
    <w:rsid w:val="00A63AC8"/>
    <w:rsid w:val="00A71CB3"/>
    <w:rsid w:val="00A76DFB"/>
    <w:rsid w:val="00A80B69"/>
    <w:rsid w:val="00A8485F"/>
    <w:rsid w:val="00A850DB"/>
    <w:rsid w:val="00A90F9A"/>
    <w:rsid w:val="00A942F6"/>
    <w:rsid w:val="00A97017"/>
    <w:rsid w:val="00AD37E6"/>
    <w:rsid w:val="00AD3E59"/>
    <w:rsid w:val="00AD43F2"/>
    <w:rsid w:val="00AE6235"/>
    <w:rsid w:val="00AF2ABE"/>
    <w:rsid w:val="00AF749D"/>
    <w:rsid w:val="00B052D6"/>
    <w:rsid w:val="00B15DD1"/>
    <w:rsid w:val="00B22931"/>
    <w:rsid w:val="00B24349"/>
    <w:rsid w:val="00B2487C"/>
    <w:rsid w:val="00B30EEA"/>
    <w:rsid w:val="00B52D5A"/>
    <w:rsid w:val="00B80E5D"/>
    <w:rsid w:val="00B918DC"/>
    <w:rsid w:val="00BA2CA7"/>
    <w:rsid w:val="00BB2233"/>
    <w:rsid w:val="00BF7A8D"/>
    <w:rsid w:val="00C036C7"/>
    <w:rsid w:val="00C22082"/>
    <w:rsid w:val="00C24DFE"/>
    <w:rsid w:val="00C34C9B"/>
    <w:rsid w:val="00C43042"/>
    <w:rsid w:val="00C528C9"/>
    <w:rsid w:val="00C65137"/>
    <w:rsid w:val="00C6786B"/>
    <w:rsid w:val="00C926CF"/>
    <w:rsid w:val="00CA23C3"/>
    <w:rsid w:val="00CA4276"/>
    <w:rsid w:val="00CC12A7"/>
    <w:rsid w:val="00CD24A4"/>
    <w:rsid w:val="00CF12EF"/>
    <w:rsid w:val="00D15CB5"/>
    <w:rsid w:val="00D21C48"/>
    <w:rsid w:val="00D35665"/>
    <w:rsid w:val="00D462BE"/>
    <w:rsid w:val="00D537C3"/>
    <w:rsid w:val="00D63695"/>
    <w:rsid w:val="00D7376A"/>
    <w:rsid w:val="00D74F95"/>
    <w:rsid w:val="00D800E0"/>
    <w:rsid w:val="00D83217"/>
    <w:rsid w:val="00D87D42"/>
    <w:rsid w:val="00D956C1"/>
    <w:rsid w:val="00DA228E"/>
    <w:rsid w:val="00DB073F"/>
    <w:rsid w:val="00DB1C5E"/>
    <w:rsid w:val="00DB79D2"/>
    <w:rsid w:val="00DC10A0"/>
    <w:rsid w:val="00DD6F2C"/>
    <w:rsid w:val="00DE3321"/>
    <w:rsid w:val="00E02D4C"/>
    <w:rsid w:val="00E0665B"/>
    <w:rsid w:val="00E14274"/>
    <w:rsid w:val="00E22DB3"/>
    <w:rsid w:val="00E36ACF"/>
    <w:rsid w:val="00E42FE8"/>
    <w:rsid w:val="00E4770A"/>
    <w:rsid w:val="00E646A7"/>
    <w:rsid w:val="00E706E7"/>
    <w:rsid w:val="00E71FBD"/>
    <w:rsid w:val="00E82958"/>
    <w:rsid w:val="00E8434E"/>
    <w:rsid w:val="00E93684"/>
    <w:rsid w:val="00E96FD2"/>
    <w:rsid w:val="00EA2FA4"/>
    <w:rsid w:val="00EA7EEA"/>
    <w:rsid w:val="00ED0C74"/>
    <w:rsid w:val="00F21CC5"/>
    <w:rsid w:val="00F27068"/>
    <w:rsid w:val="00F36E61"/>
    <w:rsid w:val="00F37ED0"/>
    <w:rsid w:val="00F5602B"/>
    <w:rsid w:val="00F733F7"/>
    <w:rsid w:val="00F81211"/>
    <w:rsid w:val="00F8638C"/>
    <w:rsid w:val="00F9190C"/>
    <w:rsid w:val="00F954F4"/>
    <w:rsid w:val="00F97620"/>
    <w:rsid w:val="00FA169D"/>
    <w:rsid w:val="00FA1AAE"/>
    <w:rsid w:val="00FA1E19"/>
    <w:rsid w:val="00FB70F5"/>
    <w:rsid w:val="00FC01B9"/>
    <w:rsid w:val="00FD2332"/>
    <w:rsid w:val="00FE3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FCC18"/>
  <w15:chartTrackingRefBased/>
  <w15:docId w15:val="{98126675-8148-49BE-AFC8-81DE4A35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6A8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832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321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B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073F"/>
  </w:style>
  <w:style w:type="paragraph" w:styleId="Footer">
    <w:name w:val="footer"/>
    <w:basedOn w:val="Normal"/>
    <w:link w:val="FooterChar"/>
    <w:uiPriority w:val="99"/>
    <w:unhideWhenUsed/>
    <w:rsid w:val="00DB0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0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Donley</dc:creator>
  <cp:keywords/>
  <dc:description/>
  <cp:lastModifiedBy>Dave Donley</cp:lastModifiedBy>
  <cp:revision>24</cp:revision>
  <dcterms:created xsi:type="dcterms:W3CDTF">2022-09-22T21:52:00Z</dcterms:created>
  <dcterms:modified xsi:type="dcterms:W3CDTF">2022-09-22T22:15:00Z</dcterms:modified>
</cp:coreProperties>
</file>