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290F" w14:textId="77777777" w:rsidR="00333C22" w:rsidRDefault="00333C22">
      <w:pPr>
        <w:rPr>
          <w:b/>
          <w:bCs/>
        </w:rPr>
      </w:pPr>
    </w:p>
    <w:p w14:paraId="619C0816" w14:textId="4AD83403" w:rsidR="00E4770A" w:rsidRPr="00060204" w:rsidRDefault="000D6A8B">
      <w:pPr>
        <w:rPr>
          <w:b/>
          <w:bCs/>
        </w:rPr>
      </w:pPr>
      <w:r w:rsidRPr="00060204">
        <w:rPr>
          <w:b/>
          <w:bCs/>
        </w:rPr>
        <w:t xml:space="preserve">FAQs – </w:t>
      </w:r>
      <w:r w:rsidR="000935B8">
        <w:rPr>
          <w:b/>
          <w:bCs/>
        </w:rPr>
        <w:t>T</w:t>
      </w:r>
      <w:r w:rsidR="00884B42">
        <w:rPr>
          <w:b/>
          <w:bCs/>
        </w:rPr>
        <w:t xml:space="preserve">echnical </w:t>
      </w:r>
      <w:proofErr w:type="gramStart"/>
      <w:r w:rsidR="000935B8">
        <w:rPr>
          <w:b/>
          <w:bCs/>
        </w:rPr>
        <w:t>A</w:t>
      </w:r>
      <w:r w:rsidR="001D376E">
        <w:rPr>
          <w:b/>
          <w:bCs/>
        </w:rPr>
        <w:t>nd</w:t>
      </w:r>
      <w:proofErr w:type="gramEnd"/>
      <w:r w:rsidR="001D376E">
        <w:rPr>
          <w:b/>
          <w:bCs/>
        </w:rPr>
        <w:t xml:space="preserve"> </w:t>
      </w:r>
      <w:r w:rsidR="000935B8">
        <w:rPr>
          <w:b/>
          <w:bCs/>
        </w:rPr>
        <w:t>B</w:t>
      </w:r>
      <w:r w:rsidR="001D376E">
        <w:rPr>
          <w:b/>
          <w:bCs/>
        </w:rPr>
        <w:t xml:space="preserve">usiness </w:t>
      </w:r>
      <w:r w:rsidR="000935B8">
        <w:rPr>
          <w:b/>
          <w:bCs/>
        </w:rPr>
        <w:t>A</w:t>
      </w:r>
      <w:r w:rsidR="001D376E">
        <w:rPr>
          <w:b/>
          <w:bCs/>
        </w:rPr>
        <w:t>ssistance</w:t>
      </w:r>
      <w:r w:rsidR="000935B8">
        <w:rPr>
          <w:b/>
          <w:bCs/>
        </w:rPr>
        <w:t xml:space="preserve"> </w:t>
      </w:r>
      <w:r w:rsidR="001D376E">
        <w:rPr>
          <w:b/>
          <w:bCs/>
        </w:rPr>
        <w:t>(TABA) V</w:t>
      </w:r>
      <w:r w:rsidR="000935B8">
        <w:rPr>
          <w:b/>
          <w:bCs/>
        </w:rPr>
        <w:t>endor (Commercialization services)</w:t>
      </w:r>
    </w:p>
    <w:p w14:paraId="75CB0DF1" w14:textId="2D1134C4" w:rsidR="000D6A8B" w:rsidRDefault="000D6A8B">
      <w:r w:rsidRPr="00060204">
        <w:rPr>
          <w:b/>
          <w:bCs/>
        </w:rPr>
        <w:t>Q1.</w:t>
      </w:r>
      <w:r>
        <w:t xml:space="preserve"> </w:t>
      </w:r>
      <w:r w:rsidR="00884B42">
        <w:t>Do I have to have a TABA vendor</w:t>
      </w:r>
      <w:r>
        <w:t>?</w:t>
      </w:r>
    </w:p>
    <w:p w14:paraId="225B469F" w14:textId="43C35F20" w:rsidR="000D6A8B" w:rsidRDefault="000D6A8B" w:rsidP="005A5902">
      <w:pPr>
        <w:autoSpaceDE w:val="0"/>
        <w:autoSpaceDN w:val="0"/>
        <w:adjustRightInd w:val="0"/>
        <w:spacing w:after="0" w:line="240" w:lineRule="auto"/>
      </w:pPr>
      <w:r w:rsidRPr="00060204">
        <w:rPr>
          <w:b/>
          <w:bCs/>
        </w:rPr>
        <w:t>A1.</w:t>
      </w:r>
      <w:r>
        <w:t xml:space="preserve"> </w:t>
      </w:r>
      <w:r w:rsidR="001D376E">
        <w:t>Yes, you will have a TABA</w:t>
      </w:r>
      <w:r w:rsidR="00600B77">
        <w:t xml:space="preserve"> vendor</w:t>
      </w:r>
      <w:r w:rsidR="001D376E">
        <w:t xml:space="preserve">. </w:t>
      </w:r>
      <w:r w:rsidR="00600B77">
        <w:t>But t</w:t>
      </w:r>
      <w:r w:rsidR="00891061">
        <w:t>here are two options:</w:t>
      </w:r>
    </w:p>
    <w:p w14:paraId="26C421CA" w14:textId="77777777" w:rsidR="0059553A" w:rsidRDefault="0059553A" w:rsidP="005A5902">
      <w:pPr>
        <w:autoSpaceDE w:val="0"/>
        <w:autoSpaceDN w:val="0"/>
        <w:adjustRightInd w:val="0"/>
        <w:spacing w:after="0" w:line="240" w:lineRule="auto"/>
      </w:pPr>
    </w:p>
    <w:p w14:paraId="3A391973" w14:textId="404E343A" w:rsidR="0059553A" w:rsidRPr="002F5A06" w:rsidRDefault="0059553A" w:rsidP="005955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F5A06">
        <w:rPr>
          <w:rFonts w:cstheme="minorHAnsi"/>
        </w:rPr>
        <w:t xml:space="preserve">The default condition is you will be assigned the current DOE TABA vendor (LARTA.org) upon notice of award. </w:t>
      </w:r>
      <w:r w:rsidR="00B458FD" w:rsidRPr="002F5A06">
        <w:rPr>
          <w:rFonts w:cstheme="minorHAnsi"/>
        </w:rPr>
        <w:t xml:space="preserve">LARTA is primarily assigned to assist you with your commercialization plan for a Phase II </w:t>
      </w:r>
      <w:r w:rsidR="002F5A06" w:rsidRPr="002F5A06">
        <w:rPr>
          <w:rFonts w:cstheme="minorHAnsi"/>
        </w:rPr>
        <w:t xml:space="preserve">application, </w:t>
      </w:r>
      <w:r w:rsidR="003F3444">
        <w:rPr>
          <w:rFonts w:cstheme="minorHAnsi"/>
        </w:rPr>
        <w:t>a</w:t>
      </w:r>
      <w:r w:rsidR="002F5A06" w:rsidRPr="002F5A06">
        <w:rPr>
          <w:rFonts w:cstheme="minorHAnsi"/>
        </w:rPr>
        <w:t>long with other useful services.</w:t>
      </w:r>
      <w:r w:rsidR="002F5A06">
        <w:rPr>
          <w:rFonts w:cstheme="minorHAnsi"/>
        </w:rPr>
        <w:t xml:space="preserve"> There is no formal notification on your part</w:t>
      </w:r>
      <w:r w:rsidR="00B0371F">
        <w:rPr>
          <w:rFonts w:cstheme="minorHAnsi"/>
        </w:rPr>
        <w:t xml:space="preserve"> for selecting this option and </w:t>
      </w:r>
      <w:r w:rsidR="00B0371F" w:rsidRPr="00B0371F">
        <w:rPr>
          <w:rFonts w:cstheme="minorHAnsi"/>
          <w:u w:val="single"/>
        </w:rPr>
        <w:t>there is no budget impact</w:t>
      </w:r>
      <w:r w:rsidR="00B0371F">
        <w:rPr>
          <w:rFonts w:cstheme="minorHAnsi"/>
        </w:rPr>
        <w:t>.</w:t>
      </w:r>
      <w:r w:rsidR="00A0566C">
        <w:rPr>
          <w:rFonts w:cstheme="minorHAnsi"/>
        </w:rPr>
        <w:t xml:space="preserve"> </w:t>
      </w:r>
      <w:r w:rsidR="00586D84">
        <w:rPr>
          <w:rFonts w:cstheme="minorHAnsi"/>
        </w:rPr>
        <w:t>LARTA is paid directly by the DOE</w:t>
      </w:r>
      <w:r w:rsidR="00430804">
        <w:rPr>
          <w:rFonts w:cstheme="minorHAnsi"/>
        </w:rPr>
        <w:t xml:space="preserve"> so i</w:t>
      </w:r>
      <w:r w:rsidR="00A0566C">
        <w:rPr>
          <w:rFonts w:cstheme="minorHAnsi"/>
        </w:rPr>
        <w:t>t’s up to you to engage with LARTA to the extent required.</w:t>
      </w:r>
    </w:p>
    <w:p w14:paraId="75DD9A11" w14:textId="35E12265" w:rsidR="002F5A06" w:rsidRDefault="00430804" w:rsidP="005955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You may choose your own third-party TABA vendor</w:t>
      </w:r>
      <w:r w:rsidR="00953D9B">
        <w:rPr>
          <w:rFonts w:cstheme="minorHAnsi"/>
        </w:rPr>
        <w:t>. If you do, the DOE will allow you to budget up to $6,500</w:t>
      </w:r>
      <w:r w:rsidR="00E714CE">
        <w:rPr>
          <w:rFonts w:cstheme="minorHAnsi"/>
        </w:rPr>
        <w:t xml:space="preserve"> for those services. You are also allowed to increase your grant limit by $6,500.</w:t>
      </w:r>
    </w:p>
    <w:p w14:paraId="686C59CC" w14:textId="77777777" w:rsidR="002B4511" w:rsidRDefault="002B4511" w:rsidP="002B45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82D646" w14:textId="77777777" w:rsidR="00D267FA" w:rsidRDefault="00D267FA" w:rsidP="002B4511">
      <w:pPr>
        <w:rPr>
          <w:b/>
          <w:bCs/>
        </w:rPr>
      </w:pPr>
    </w:p>
    <w:p w14:paraId="12A80242" w14:textId="2B8CDE23" w:rsidR="002B4511" w:rsidRDefault="002B4511" w:rsidP="002B4511">
      <w:r w:rsidRPr="00060204">
        <w:rPr>
          <w:b/>
          <w:bCs/>
        </w:rPr>
        <w:t>Q</w:t>
      </w:r>
      <w:r>
        <w:rPr>
          <w:b/>
          <w:bCs/>
        </w:rPr>
        <w:t>2</w:t>
      </w:r>
      <w:r w:rsidRPr="00060204">
        <w:rPr>
          <w:b/>
          <w:bCs/>
        </w:rPr>
        <w:t>.</w:t>
      </w:r>
      <w:r>
        <w:t xml:space="preserve"> Where would I reflect the TABA vendor </w:t>
      </w:r>
      <w:r w:rsidR="00D17F13">
        <w:t>i</w:t>
      </w:r>
      <w:r>
        <w:t>n the budget?</w:t>
      </w:r>
    </w:p>
    <w:p w14:paraId="15803A25" w14:textId="5632BDF4" w:rsidR="002B4511" w:rsidRDefault="002B4511" w:rsidP="002B4511">
      <w:pPr>
        <w:autoSpaceDE w:val="0"/>
        <w:autoSpaceDN w:val="0"/>
        <w:adjustRightInd w:val="0"/>
        <w:spacing w:after="0" w:line="240" w:lineRule="auto"/>
      </w:pPr>
      <w:r w:rsidRPr="00060204">
        <w:rPr>
          <w:b/>
          <w:bCs/>
        </w:rPr>
        <w:t>A</w:t>
      </w:r>
      <w:r>
        <w:rPr>
          <w:b/>
          <w:bCs/>
        </w:rPr>
        <w:t>2</w:t>
      </w:r>
      <w:r w:rsidRPr="00060204">
        <w:rPr>
          <w:b/>
          <w:bCs/>
        </w:rPr>
        <w:t>.</w:t>
      </w:r>
      <w:r>
        <w:t xml:space="preserve"> Your TABA vendor will be considered </w:t>
      </w:r>
      <w:r w:rsidR="009C6595">
        <w:t>a consultant.</w:t>
      </w:r>
    </w:p>
    <w:p w14:paraId="59E22FD1" w14:textId="77777777" w:rsidR="008F381C" w:rsidRDefault="008F381C"/>
    <w:p w14:paraId="6488D4C7" w14:textId="628AF322" w:rsidR="00F674A3" w:rsidRDefault="00F674A3" w:rsidP="00F674A3">
      <w:r w:rsidRPr="00060204">
        <w:rPr>
          <w:b/>
          <w:bCs/>
        </w:rPr>
        <w:t>Q</w:t>
      </w:r>
      <w:r w:rsidR="003666A3">
        <w:rPr>
          <w:b/>
          <w:bCs/>
        </w:rPr>
        <w:t>3</w:t>
      </w:r>
      <w:r w:rsidRPr="00060204">
        <w:rPr>
          <w:b/>
          <w:bCs/>
        </w:rPr>
        <w:t>.</w:t>
      </w:r>
      <w:r>
        <w:t xml:space="preserve"> </w:t>
      </w:r>
      <w:r w:rsidR="003666A3">
        <w:t xml:space="preserve">Can I submit $6,500 as a placeholder in my budget </w:t>
      </w:r>
      <w:r w:rsidR="003F152D">
        <w:t>if I can’t identify</w:t>
      </w:r>
      <w:r w:rsidR="003666A3">
        <w:t xml:space="preserve"> a </w:t>
      </w:r>
      <w:r w:rsidR="00642A17">
        <w:t>third-party TABA vendor</w:t>
      </w:r>
      <w:r>
        <w:t>?</w:t>
      </w:r>
    </w:p>
    <w:p w14:paraId="77ECD2D4" w14:textId="3684E473" w:rsidR="008329EC" w:rsidRDefault="00F674A3" w:rsidP="00F674A3">
      <w:r w:rsidRPr="00060204">
        <w:rPr>
          <w:b/>
          <w:bCs/>
        </w:rPr>
        <w:t>A</w:t>
      </w:r>
      <w:r w:rsidR="003666A3">
        <w:rPr>
          <w:b/>
          <w:bCs/>
        </w:rPr>
        <w:t>3</w:t>
      </w:r>
      <w:r w:rsidRPr="00060204">
        <w:rPr>
          <w:b/>
          <w:bCs/>
        </w:rPr>
        <w:t>.</w:t>
      </w:r>
      <w:r>
        <w:t xml:space="preserve"> </w:t>
      </w:r>
      <w:r w:rsidR="00642A17">
        <w:t>No</w:t>
      </w:r>
      <w:r w:rsidR="000266CB">
        <w:t>.</w:t>
      </w:r>
      <w:r w:rsidR="00642A17">
        <w:t xml:space="preserve"> Since all consultants must have a Letter of Commitment, </w:t>
      </w:r>
      <w:r w:rsidR="008329EC">
        <w:t>you’ll need to select and identify your TABA consultant with your application.</w:t>
      </w:r>
    </w:p>
    <w:p w14:paraId="4C85AE62" w14:textId="77777777" w:rsidR="000F6513" w:rsidRDefault="000F6513" w:rsidP="00F674A3">
      <w:pPr>
        <w:rPr>
          <w:rFonts w:cstheme="minorHAnsi"/>
        </w:rPr>
      </w:pPr>
    </w:p>
    <w:p w14:paraId="29481E36" w14:textId="2B70E2BC" w:rsidR="0087700E" w:rsidRDefault="0087700E" w:rsidP="0087700E">
      <w:r w:rsidRPr="00060204">
        <w:rPr>
          <w:b/>
          <w:bCs/>
        </w:rPr>
        <w:t>Q</w:t>
      </w:r>
      <w:r>
        <w:rPr>
          <w:b/>
          <w:bCs/>
        </w:rPr>
        <w:t>4</w:t>
      </w:r>
      <w:r w:rsidRPr="00060204">
        <w:rPr>
          <w:b/>
          <w:bCs/>
        </w:rPr>
        <w:t>.</w:t>
      </w:r>
      <w:r>
        <w:t xml:space="preserve"> Are there restrictions on what the TABA funds can be used for?</w:t>
      </w:r>
    </w:p>
    <w:p w14:paraId="7F24290F" w14:textId="137F90E6" w:rsidR="0087700E" w:rsidRDefault="0087700E" w:rsidP="0087700E">
      <w:r w:rsidRPr="00060204">
        <w:rPr>
          <w:b/>
          <w:bCs/>
        </w:rPr>
        <w:t>A</w:t>
      </w:r>
      <w:r>
        <w:rPr>
          <w:b/>
          <w:bCs/>
        </w:rPr>
        <w:t>4</w:t>
      </w:r>
      <w:r w:rsidRPr="00060204">
        <w:rPr>
          <w:b/>
          <w:bCs/>
        </w:rPr>
        <w:t>.</w:t>
      </w:r>
      <w:r>
        <w:t xml:space="preserve"> Yes. Those questions can</w:t>
      </w:r>
      <w:r w:rsidR="00963C8F">
        <w:t xml:space="preserve"> </w:t>
      </w:r>
      <w:r>
        <w:t>be answered in the FOA</w:t>
      </w:r>
      <w:r w:rsidR="00963C8F">
        <w:t>, search term “TABA”.</w:t>
      </w:r>
    </w:p>
    <w:p w14:paraId="43403675" w14:textId="77777777" w:rsidR="00242C36" w:rsidRDefault="00242C36" w:rsidP="0087700E"/>
    <w:p w14:paraId="0BF587AC" w14:textId="406DC2A1" w:rsidR="00242C36" w:rsidRDefault="00242C36" w:rsidP="00242C36">
      <w:r w:rsidRPr="00060204">
        <w:rPr>
          <w:b/>
          <w:bCs/>
        </w:rPr>
        <w:t>Q</w:t>
      </w:r>
      <w:r>
        <w:rPr>
          <w:b/>
          <w:bCs/>
        </w:rPr>
        <w:t>5</w:t>
      </w:r>
      <w:r w:rsidRPr="00060204">
        <w:rPr>
          <w:b/>
          <w:bCs/>
        </w:rPr>
        <w:t>.</w:t>
      </w:r>
      <w:r>
        <w:t xml:space="preserve"> </w:t>
      </w:r>
      <w:r w:rsidR="0076203C">
        <w:t>How is the TABA vendor scored as far as an applicant’s SBIR/STTR Level-of-Effort</w:t>
      </w:r>
      <w:r>
        <w:t>?</w:t>
      </w:r>
    </w:p>
    <w:p w14:paraId="656277C5" w14:textId="660EAAE5" w:rsidR="00242C36" w:rsidRPr="00227447" w:rsidRDefault="00242C36" w:rsidP="00242C36">
      <w:pPr>
        <w:rPr>
          <w:rFonts w:cstheme="minorHAnsi"/>
        </w:rPr>
      </w:pPr>
      <w:r w:rsidRPr="00060204">
        <w:rPr>
          <w:b/>
          <w:bCs/>
        </w:rPr>
        <w:t>A</w:t>
      </w:r>
      <w:r>
        <w:rPr>
          <w:b/>
          <w:bCs/>
        </w:rPr>
        <w:t>5</w:t>
      </w:r>
      <w:r w:rsidRPr="00060204">
        <w:rPr>
          <w:b/>
          <w:bCs/>
        </w:rPr>
        <w:t>.</w:t>
      </w:r>
      <w:r>
        <w:t xml:space="preserve"> </w:t>
      </w:r>
      <w:r w:rsidR="006D3822">
        <w:t>Since TABA</w:t>
      </w:r>
      <w:r w:rsidR="00C04A10">
        <w:t xml:space="preserve"> vendors are considered consultants in the budget, they do not contribute to the small business</w:t>
      </w:r>
      <w:r w:rsidR="00BF57DB">
        <w:t>’</w:t>
      </w:r>
      <w:r w:rsidR="002530CA">
        <w:t>s</w:t>
      </w:r>
      <w:r w:rsidR="00C04A10">
        <w:t xml:space="preserve"> </w:t>
      </w:r>
      <w:r w:rsidR="007F59D1">
        <w:t>workshare. Care should be taken, especially when budgeting for other consultants and subawards, that the small business still</w:t>
      </w:r>
      <w:r w:rsidR="00017C36">
        <w:t xml:space="preserve"> </w:t>
      </w:r>
      <w:r w:rsidR="007F59D1">
        <w:t>meets its workshare requirements.</w:t>
      </w:r>
    </w:p>
    <w:p w14:paraId="75C46F7A" w14:textId="77777777" w:rsidR="00242C36" w:rsidRDefault="00242C36" w:rsidP="0087700E">
      <w:pPr>
        <w:rPr>
          <w:rFonts w:cstheme="minorHAnsi"/>
        </w:rPr>
      </w:pPr>
    </w:p>
    <w:p w14:paraId="6620FEE4" w14:textId="69C5B759" w:rsidR="002E211B" w:rsidRDefault="002E211B" w:rsidP="002E211B">
      <w:r w:rsidRPr="00060204">
        <w:rPr>
          <w:b/>
          <w:bCs/>
        </w:rPr>
        <w:t>Q</w:t>
      </w:r>
      <w:r>
        <w:rPr>
          <w:b/>
          <w:bCs/>
        </w:rPr>
        <w:t>6</w:t>
      </w:r>
      <w:r w:rsidRPr="00060204">
        <w:rPr>
          <w:b/>
          <w:bCs/>
        </w:rPr>
        <w:t>.</w:t>
      </w:r>
      <w:r>
        <w:t xml:space="preserve"> </w:t>
      </w:r>
      <w:r w:rsidR="00127364">
        <w:t>For TABA vendor selection, i</w:t>
      </w:r>
      <w:r w:rsidR="00800A7C">
        <w:t>s there a stated preference</w:t>
      </w:r>
      <w:r w:rsidR="00102EEE">
        <w:t xml:space="preserve"> </w:t>
      </w:r>
      <w:r w:rsidR="00127364">
        <w:t xml:space="preserve">in </w:t>
      </w:r>
      <w:r w:rsidR="00B523EA">
        <w:t>DOE’s</w:t>
      </w:r>
      <w:r w:rsidR="00127364">
        <w:t xml:space="preserve"> evaluation and selection proce</w:t>
      </w:r>
      <w:r w:rsidR="00102EEE">
        <w:t>s</w:t>
      </w:r>
      <w:r w:rsidR="00127364">
        <w:t xml:space="preserve">s </w:t>
      </w:r>
      <w:r w:rsidR="00102EEE">
        <w:t>for award</w:t>
      </w:r>
      <w:r>
        <w:t>?</w:t>
      </w:r>
    </w:p>
    <w:p w14:paraId="1ADF60C6" w14:textId="271261C9" w:rsidR="002E211B" w:rsidRPr="00227447" w:rsidRDefault="002E211B" w:rsidP="002E211B">
      <w:pPr>
        <w:rPr>
          <w:rFonts w:cstheme="minorHAnsi"/>
        </w:rPr>
      </w:pPr>
      <w:r w:rsidRPr="00060204">
        <w:rPr>
          <w:b/>
          <w:bCs/>
        </w:rPr>
        <w:t>A</w:t>
      </w:r>
      <w:r>
        <w:rPr>
          <w:b/>
          <w:bCs/>
        </w:rPr>
        <w:t>6</w:t>
      </w:r>
      <w:r w:rsidRPr="00060204">
        <w:rPr>
          <w:b/>
          <w:bCs/>
        </w:rPr>
        <w:t>.</w:t>
      </w:r>
      <w:r>
        <w:t xml:space="preserve"> </w:t>
      </w:r>
      <w:r w:rsidR="004D07AB">
        <w:t>There is not</w:t>
      </w:r>
      <w:r>
        <w:t>.</w:t>
      </w:r>
    </w:p>
    <w:p w14:paraId="03E0E795" w14:textId="77777777" w:rsidR="002E211B" w:rsidRDefault="002E211B" w:rsidP="0087700E">
      <w:pPr>
        <w:rPr>
          <w:rFonts w:cstheme="minorHAnsi"/>
        </w:rPr>
      </w:pPr>
    </w:p>
    <w:p w14:paraId="6985F6D9" w14:textId="789F9FFA" w:rsidR="000A506C" w:rsidRDefault="000A506C" w:rsidP="000A506C">
      <w:r w:rsidRPr="00060204">
        <w:rPr>
          <w:b/>
          <w:bCs/>
        </w:rPr>
        <w:t>Q</w:t>
      </w:r>
      <w:r>
        <w:rPr>
          <w:b/>
          <w:bCs/>
        </w:rPr>
        <w:t>7</w:t>
      </w:r>
      <w:r w:rsidRPr="00060204">
        <w:rPr>
          <w:b/>
          <w:bCs/>
        </w:rPr>
        <w:t>.</w:t>
      </w:r>
      <w:r>
        <w:t xml:space="preserve"> </w:t>
      </w:r>
      <w:r w:rsidR="00215E88">
        <w:t>C</w:t>
      </w:r>
      <w:r w:rsidR="00D46AC5">
        <w:t>an</w:t>
      </w:r>
      <w:r w:rsidR="00215E88">
        <w:t xml:space="preserve"> TABA funds subsidize IP attorney fees</w:t>
      </w:r>
      <w:r w:rsidR="00D46AC5">
        <w:t>, and are those fees limited to $150/hour?</w:t>
      </w:r>
    </w:p>
    <w:p w14:paraId="535BC596" w14:textId="46006790" w:rsidR="000A506C" w:rsidRPr="00227447" w:rsidRDefault="000A506C" w:rsidP="000A506C">
      <w:pPr>
        <w:rPr>
          <w:rFonts w:cstheme="minorHAnsi"/>
        </w:rPr>
      </w:pPr>
      <w:r w:rsidRPr="00060204">
        <w:rPr>
          <w:b/>
          <w:bCs/>
        </w:rPr>
        <w:lastRenderedPageBreak/>
        <w:t>A</w:t>
      </w:r>
      <w:r>
        <w:rPr>
          <w:b/>
          <w:bCs/>
        </w:rPr>
        <w:t>7</w:t>
      </w:r>
      <w:r w:rsidRPr="00060204">
        <w:rPr>
          <w:b/>
          <w:bCs/>
        </w:rPr>
        <w:t>.</w:t>
      </w:r>
      <w:r>
        <w:t xml:space="preserve"> </w:t>
      </w:r>
      <w:r w:rsidR="00D46AC5">
        <w:t>Yes, TABA funds can be used to pay for an IP attorney for those items articulated in the F</w:t>
      </w:r>
      <w:r w:rsidR="00BF0A28">
        <w:t>OA</w:t>
      </w:r>
      <w:r>
        <w:t>.</w:t>
      </w:r>
      <w:r w:rsidR="00BF0A28">
        <w:t xml:space="preserve"> Fees are not limited to $150/hour. Additional documentation may be </w:t>
      </w:r>
      <w:proofErr w:type="gramStart"/>
      <w:r w:rsidR="00BF0A28">
        <w:t>require</w:t>
      </w:r>
      <w:proofErr w:type="gramEnd"/>
      <w:r w:rsidR="00BF0A28">
        <w:t xml:space="preserve"> </w:t>
      </w:r>
      <w:r w:rsidR="00DB1DC2">
        <w:t>after notification of award to justify hourly rates over $150/hour.</w:t>
      </w:r>
    </w:p>
    <w:p w14:paraId="1E1011C2" w14:textId="77777777" w:rsidR="000A506C" w:rsidRPr="00227447" w:rsidRDefault="000A506C" w:rsidP="0087700E">
      <w:pPr>
        <w:rPr>
          <w:rFonts w:cstheme="minorHAnsi"/>
        </w:rPr>
      </w:pPr>
    </w:p>
    <w:sectPr w:rsidR="000A506C" w:rsidRPr="002274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933B" w14:textId="77777777" w:rsidR="00333C22" w:rsidRDefault="00333C22" w:rsidP="00333C22">
      <w:pPr>
        <w:spacing w:after="0" w:line="240" w:lineRule="auto"/>
      </w:pPr>
      <w:r>
        <w:separator/>
      </w:r>
    </w:p>
  </w:endnote>
  <w:endnote w:type="continuationSeparator" w:id="0">
    <w:p w14:paraId="0C43A107" w14:textId="77777777" w:rsidR="00333C22" w:rsidRDefault="00333C22" w:rsidP="0033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52D0A" w14:textId="77777777" w:rsidR="00333C22" w:rsidRDefault="00333C22" w:rsidP="00333C22">
      <w:pPr>
        <w:spacing w:after="0" w:line="240" w:lineRule="auto"/>
      </w:pPr>
      <w:r>
        <w:separator/>
      </w:r>
    </w:p>
  </w:footnote>
  <w:footnote w:type="continuationSeparator" w:id="0">
    <w:p w14:paraId="3A7CBDC0" w14:textId="77777777" w:rsidR="00333C22" w:rsidRDefault="00333C22" w:rsidP="00333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D3E7" w14:textId="76E5F2D8" w:rsidR="00333C22" w:rsidRDefault="00333C22">
    <w:pPr>
      <w:pStyle w:val="Header"/>
    </w:pPr>
    <w:r>
      <w:rPr>
        <w:noProof/>
      </w:rPr>
      <w:drawing>
        <wp:inline distT="0" distB="0" distL="0" distR="0" wp14:anchorId="6EA23F14" wp14:editId="615AD0C8">
          <wp:extent cx="1533525" cy="533400"/>
          <wp:effectExtent l="0" t="0" r="9525" b="0"/>
          <wp:docPr id="3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65665"/>
    <w:multiLevelType w:val="hybridMultilevel"/>
    <w:tmpl w:val="68A84C58"/>
    <w:lvl w:ilvl="0" w:tplc="564294E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91CAF"/>
    <w:multiLevelType w:val="hybridMultilevel"/>
    <w:tmpl w:val="8E140940"/>
    <w:lvl w:ilvl="0" w:tplc="9EE2E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B156A7"/>
    <w:multiLevelType w:val="hybridMultilevel"/>
    <w:tmpl w:val="68621222"/>
    <w:lvl w:ilvl="0" w:tplc="12F20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419026">
    <w:abstractNumId w:val="2"/>
  </w:num>
  <w:num w:numId="2" w16cid:durableId="345642570">
    <w:abstractNumId w:val="1"/>
  </w:num>
  <w:num w:numId="3" w16cid:durableId="8488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B"/>
    <w:rsid w:val="00017C36"/>
    <w:rsid w:val="000215C7"/>
    <w:rsid w:val="000266CB"/>
    <w:rsid w:val="000332B6"/>
    <w:rsid w:val="00060204"/>
    <w:rsid w:val="0006628F"/>
    <w:rsid w:val="0007573B"/>
    <w:rsid w:val="000935B8"/>
    <w:rsid w:val="000A0A63"/>
    <w:rsid w:val="000A506C"/>
    <w:rsid w:val="000B7825"/>
    <w:rsid w:val="000D6A8B"/>
    <w:rsid w:val="000E2ABA"/>
    <w:rsid w:val="000E2CDF"/>
    <w:rsid w:val="000F6513"/>
    <w:rsid w:val="00102AAD"/>
    <w:rsid w:val="00102EEE"/>
    <w:rsid w:val="00127364"/>
    <w:rsid w:val="00154679"/>
    <w:rsid w:val="001C3B13"/>
    <w:rsid w:val="001D376E"/>
    <w:rsid w:val="001F50CD"/>
    <w:rsid w:val="00205E8D"/>
    <w:rsid w:val="00215E88"/>
    <w:rsid w:val="00227447"/>
    <w:rsid w:val="00231196"/>
    <w:rsid w:val="00242C36"/>
    <w:rsid w:val="002530CA"/>
    <w:rsid w:val="00267391"/>
    <w:rsid w:val="002940E4"/>
    <w:rsid w:val="002A5009"/>
    <w:rsid w:val="002B4511"/>
    <w:rsid w:val="002D2688"/>
    <w:rsid w:val="002D631D"/>
    <w:rsid w:val="002D78A1"/>
    <w:rsid w:val="002E211B"/>
    <w:rsid w:val="002F5A06"/>
    <w:rsid w:val="002F6807"/>
    <w:rsid w:val="00313C96"/>
    <w:rsid w:val="00333C22"/>
    <w:rsid w:val="003656C9"/>
    <w:rsid w:val="003666A3"/>
    <w:rsid w:val="00392502"/>
    <w:rsid w:val="003D656F"/>
    <w:rsid w:val="003E13DF"/>
    <w:rsid w:val="003F152D"/>
    <w:rsid w:val="003F3444"/>
    <w:rsid w:val="00407D7D"/>
    <w:rsid w:val="00430804"/>
    <w:rsid w:val="0047729C"/>
    <w:rsid w:val="004848E9"/>
    <w:rsid w:val="00497D0E"/>
    <w:rsid w:val="004D07AB"/>
    <w:rsid w:val="00542383"/>
    <w:rsid w:val="00565EB8"/>
    <w:rsid w:val="0056761E"/>
    <w:rsid w:val="005734E7"/>
    <w:rsid w:val="00573E1F"/>
    <w:rsid w:val="00586D84"/>
    <w:rsid w:val="0059017C"/>
    <w:rsid w:val="0059553A"/>
    <w:rsid w:val="005A5902"/>
    <w:rsid w:val="005B0787"/>
    <w:rsid w:val="005D54CF"/>
    <w:rsid w:val="005E263E"/>
    <w:rsid w:val="005F75C4"/>
    <w:rsid w:val="00600B77"/>
    <w:rsid w:val="00602B7F"/>
    <w:rsid w:val="0061054F"/>
    <w:rsid w:val="00616150"/>
    <w:rsid w:val="00622126"/>
    <w:rsid w:val="006226EF"/>
    <w:rsid w:val="00642A17"/>
    <w:rsid w:val="00653487"/>
    <w:rsid w:val="00665DF7"/>
    <w:rsid w:val="00670DC1"/>
    <w:rsid w:val="00671C31"/>
    <w:rsid w:val="00696F88"/>
    <w:rsid w:val="006A207F"/>
    <w:rsid w:val="006C6D13"/>
    <w:rsid w:val="006C72EA"/>
    <w:rsid w:val="006D3822"/>
    <w:rsid w:val="006E0779"/>
    <w:rsid w:val="006E239F"/>
    <w:rsid w:val="00702592"/>
    <w:rsid w:val="00707B6E"/>
    <w:rsid w:val="007260B4"/>
    <w:rsid w:val="007278E2"/>
    <w:rsid w:val="00753C4E"/>
    <w:rsid w:val="0076203C"/>
    <w:rsid w:val="0076727E"/>
    <w:rsid w:val="00767955"/>
    <w:rsid w:val="0077453B"/>
    <w:rsid w:val="0078137B"/>
    <w:rsid w:val="00781AA5"/>
    <w:rsid w:val="007C0BC8"/>
    <w:rsid w:val="007C47E2"/>
    <w:rsid w:val="007C753B"/>
    <w:rsid w:val="007F59D1"/>
    <w:rsid w:val="007F7F25"/>
    <w:rsid w:val="00800A7C"/>
    <w:rsid w:val="00812581"/>
    <w:rsid w:val="00822EE4"/>
    <w:rsid w:val="008329EC"/>
    <w:rsid w:val="00853FFB"/>
    <w:rsid w:val="00867B0E"/>
    <w:rsid w:val="00873DAC"/>
    <w:rsid w:val="0087700E"/>
    <w:rsid w:val="00884B42"/>
    <w:rsid w:val="00891061"/>
    <w:rsid w:val="0089348D"/>
    <w:rsid w:val="008D2E3A"/>
    <w:rsid w:val="008E7790"/>
    <w:rsid w:val="008F291B"/>
    <w:rsid w:val="008F381C"/>
    <w:rsid w:val="008F6B9A"/>
    <w:rsid w:val="0092041F"/>
    <w:rsid w:val="00927CC5"/>
    <w:rsid w:val="009331C5"/>
    <w:rsid w:val="00953D9B"/>
    <w:rsid w:val="00963C8F"/>
    <w:rsid w:val="009772C7"/>
    <w:rsid w:val="00977E7F"/>
    <w:rsid w:val="009A39E4"/>
    <w:rsid w:val="009C6595"/>
    <w:rsid w:val="00A0566C"/>
    <w:rsid w:val="00A35940"/>
    <w:rsid w:val="00A5691E"/>
    <w:rsid w:val="00A56F8F"/>
    <w:rsid w:val="00A63AC8"/>
    <w:rsid w:val="00A80B69"/>
    <w:rsid w:val="00A8485F"/>
    <w:rsid w:val="00A850DB"/>
    <w:rsid w:val="00A90F9A"/>
    <w:rsid w:val="00A942F6"/>
    <w:rsid w:val="00AC04B0"/>
    <w:rsid w:val="00AD3E59"/>
    <w:rsid w:val="00AE6235"/>
    <w:rsid w:val="00AF2ABE"/>
    <w:rsid w:val="00B0371F"/>
    <w:rsid w:val="00B052D6"/>
    <w:rsid w:val="00B22931"/>
    <w:rsid w:val="00B2487C"/>
    <w:rsid w:val="00B30EEA"/>
    <w:rsid w:val="00B458FD"/>
    <w:rsid w:val="00B523EA"/>
    <w:rsid w:val="00B52D5A"/>
    <w:rsid w:val="00BB2233"/>
    <w:rsid w:val="00BE376D"/>
    <w:rsid w:val="00BF0A28"/>
    <w:rsid w:val="00BF57DB"/>
    <w:rsid w:val="00C04A10"/>
    <w:rsid w:val="00C22082"/>
    <w:rsid w:val="00C43042"/>
    <w:rsid w:val="00C528C9"/>
    <w:rsid w:val="00C647CB"/>
    <w:rsid w:val="00C65137"/>
    <w:rsid w:val="00C6786B"/>
    <w:rsid w:val="00C854A0"/>
    <w:rsid w:val="00CA23C3"/>
    <w:rsid w:val="00CA4276"/>
    <w:rsid w:val="00CB73A9"/>
    <w:rsid w:val="00CF12EF"/>
    <w:rsid w:val="00D17F13"/>
    <w:rsid w:val="00D21C48"/>
    <w:rsid w:val="00D267FA"/>
    <w:rsid w:val="00D35665"/>
    <w:rsid w:val="00D45C52"/>
    <w:rsid w:val="00D46AC5"/>
    <w:rsid w:val="00D472DD"/>
    <w:rsid w:val="00D61525"/>
    <w:rsid w:val="00D74F95"/>
    <w:rsid w:val="00D87D42"/>
    <w:rsid w:val="00D956C1"/>
    <w:rsid w:val="00DB1DC2"/>
    <w:rsid w:val="00DC30BC"/>
    <w:rsid w:val="00DD6F2C"/>
    <w:rsid w:val="00DE3321"/>
    <w:rsid w:val="00E02D4C"/>
    <w:rsid w:val="00E21A0B"/>
    <w:rsid w:val="00E4770A"/>
    <w:rsid w:val="00E706E7"/>
    <w:rsid w:val="00E714CE"/>
    <w:rsid w:val="00E8434E"/>
    <w:rsid w:val="00EA7EEA"/>
    <w:rsid w:val="00F01E6A"/>
    <w:rsid w:val="00F36E61"/>
    <w:rsid w:val="00F674A3"/>
    <w:rsid w:val="00FA75AF"/>
    <w:rsid w:val="00FC01B9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CC18"/>
  <w15:chartTrackingRefBased/>
  <w15:docId w15:val="{98126675-8148-49BE-AFC8-81DE4A3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22"/>
  </w:style>
  <w:style w:type="paragraph" w:styleId="Footer">
    <w:name w:val="footer"/>
    <w:basedOn w:val="Normal"/>
    <w:link w:val="FooterChar"/>
    <w:uiPriority w:val="99"/>
    <w:unhideWhenUsed/>
    <w:rsid w:val="0033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Donley</dc:creator>
  <cp:keywords/>
  <dc:description/>
  <cp:lastModifiedBy>Dave Donley</cp:lastModifiedBy>
  <cp:revision>50</cp:revision>
  <dcterms:created xsi:type="dcterms:W3CDTF">2022-09-06T21:21:00Z</dcterms:created>
  <dcterms:modified xsi:type="dcterms:W3CDTF">2022-09-22T21:41:00Z</dcterms:modified>
</cp:coreProperties>
</file>